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autoSpaceDN/>
        <w:spacing w:before="0" w:after="160" w:line="640" w:lineRule="exact"/>
        <w:ind w:right="0" w:firstLine="0"/>
        <w:jc w:val="center"/>
        <w:rPr>
          <w:rFonts w:hint="eastAsia" w:ascii="宋体" w:hAnsi="宋体" w:eastAsia="宋体" w:cs="宋体"/>
          <w:b/>
          <w:bCs/>
          <w:color w:val="auto"/>
          <w:position w:val="0"/>
          <w:sz w:val="44"/>
          <w:szCs w:val="44"/>
        </w:rPr>
      </w:pPr>
      <w:r>
        <w:rPr>
          <w:rFonts w:hint="eastAsia" w:ascii="宋体" w:hAnsi="宋体" w:eastAsia="宋体" w:cs="宋体"/>
          <w:b/>
          <w:bCs/>
          <w:color w:val="auto"/>
          <w:position w:val="0"/>
          <w:sz w:val="44"/>
          <w:szCs w:val="44"/>
        </w:rPr>
        <w:t>市教育局2020年政府信息公开工作</w:t>
      </w:r>
    </w:p>
    <w:p>
      <w:pPr>
        <w:numPr>
          <w:ilvl w:val="0"/>
          <w:numId w:val="0"/>
        </w:numPr>
        <w:autoSpaceDE/>
        <w:autoSpaceDN/>
        <w:spacing w:before="0" w:after="160" w:line="640" w:lineRule="exact"/>
        <w:ind w:right="0" w:firstLine="0"/>
        <w:jc w:val="center"/>
        <w:rPr>
          <w:rFonts w:hint="eastAsia" w:ascii="宋体" w:hAnsi="宋体" w:eastAsia="宋体" w:cs="宋体"/>
          <w:b/>
          <w:bCs/>
          <w:color w:val="auto"/>
          <w:position w:val="0"/>
          <w:sz w:val="44"/>
          <w:szCs w:val="44"/>
        </w:rPr>
      </w:pPr>
      <w:r>
        <w:rPr>
          <w:rFonts w:hint="eastAsia" w:ascii="宋体" w:hAnsi="宋体" w:eastAsia="宋体" w:cs="宋体"/>
          <w:b/>
          <w:bCs/>
          <w:color w:val="auto"/>
          <w:position w:val="0"/>
          <w:sz w:val="44"/>
          <w:szCs w:val="44"/>
        </w:rPr>
        <w:t>年度报告</w:t>
      </w:r>
    </w:p>
    <w:p>
      <w:pPr>
        <w:numPr>
          <w:ilvl w:val="0"/>
          <w:numId w:val="0"/>
        </w:numPr>
        <w:autoSpaceDE/>
        <w:autoSpaceDN/>
        <w:spacing w:before="0" w:after="160" w:line="240" w:lineRule="auto"/>
        <w:ind w:right="0" w:firstLine="640"/>
        <w:jc w:val="both"/>
        <w:rPr>
          <w:rFonts w:hint="default" w:ascii="Times New Roman" w:hAnsi="Times New Roman" w:eastAsia="Times New Roman"/>
          <w:color w:val="auto"/>
          <w:position w:val="0"/>
          <w:sz w:val="32"/>
          <w:szCs w:val="32"/>
        </w:rPr>
      </w:pPr>
    </w:p>
    <w:p>
      <w:pPr>
        <w:numPr>
          <w:ilvl w:val="0"/>
          <w:numId w:val="0"/>
        </w:numPr>
        <w:autoSpaceDE/>
        <w:autoSpaceDN/>
        <w:spacing w:before="0" w:after="160" w:line="240" w:lineRule="auto"/>
        <w:ind w:right="0" w:firstLine="640"/>
        <w:jc w:val="both"/>
        <w:rPr>
          <w:rFonts w:hint="eastAsia" w:ascii="黑体" w:hAnsi="黑体" w:eastAsia="黑体" w:cs="黑体"/>
          <w:color w:val="auto"/>
          <w:position w:val="0"/>
          <w:sz w:val="32"/>
          <w:szCs w:val="32"/>
        </w:rPr>
      </w:pPr>
      <w:r>
        <w:rPr>
          <w:rFonts w:hint="eastAsia" w:ascii="黑体" w:hAnsi="黑体" w:eastAsia="黑体" w:cs="黑体"/>
          <w:color w:val="auto"/>
          <w:position w:val="0"/>
          <w:sz w:val="32"/>
          <w:szCs w:val="32"/>
        </w:rPr>
        <w:t>一、总体情况</w:t>
      </w:r>
    </w:p>
    <w:p>
      <w:pPr>
        <w:keepNext w:val="0"/>
        <w:keepLines w:val="0"/>
        <w:pageBreakBefore w:val="0"/>
        <w:widowControl/>
        <w:numPr>
          <w:ilvl w:val="0"/>
          <w:numId w:val="0"/>
        </w:numPr>
        <w:kinsoku/>
        <w:wordWrap/>
        <w:overflowPunct/>
        <w:topLinePunct w:val="0"/>
        <w:autoSpaceDE/>
        <w:autoSpaceDN/>
        <w:bidi w:val="0"/>
        <w:adjustRightInd/>
        <w:snapToGrid/>
        <w:spacing w:before="0" w:line="560" w:lineRule="exact"/>
        <w:ind w:right="0" w:firstLine="641"/>
        <w:jc w:val="both"/>
        <w:textAlignment w:val="auto"/>
        <w:rPr>
          <w:rFonts w:hint="eastAsia" w:ascii="仿宋" w:hAnsi="仿宋" w:eastAsia="仿宋" w:cs="仿宋"/>
          <w:color w:val="auto"/>
          <w:position w:val="0"/>
          <w:sz w:val="32"/>
          <w:szCs w:val="32"/>
        </w:rPr>
      </w:pPr>
      <w:r>
        <w:rPr>
          <w:rFonts w:hint="eastAsia" w:ascii="仿宋" w:hAnsi="仿宋" w:eastAsia="仿宋" w:cs="仿宋"/>
          <w:color w:val="auto"/>
          <w:position w:val="0"/>
          <w:sz w:val="32"/>
          <w:szCs w:val="32"/>
        </w:rPr>
        <w:t>市教育局结合教育行业工作实际，认真贯彻落实《中华人民共和国政府信息公开条例》要求，按照省、市政务公开工作的安排部署，主动公开、依申请公开、政府信息管理、平台建设、监督保障工作均得到了顺利开展。</w:t>
      </w:r>
    </w:p>
    <w:p>
      <w:pPr>
        <w:keepNext w:val="0"/>
        <w:keepLines w:val="0"/>
        <w:pageBreakBefore w:val="0"/>
        <w:widowControl/>
        <w:numPr>
          <w:ilvl w:val="0"/>
          <w:numId w:val="0"/>
        </w:numPr>
        <w:kinsoku/>
        <w:wordWrap/>
        <w:overflowPunct/>
        <w:topLinePunct w:val="0"/>
        <w:autoSpaceDE/>
        <w:autoSpaceDN/>
        <w:bidi w:val="0"/>
        <w:adjustRightInd/>
        <w:snapToGrid/>
        <w:spacing w:before="0" w:line="560" w:lineRule="exact"/>
        <w:ind w:right="0" w:firstLine="641"/>
        <w:jc w:val="both"/>
        <w:textAlignment w:val="auto"/>
        <w:rPr>
          <w:rFonts w:hint="eastAsia" w:ascii="仿宋" w:hAnsi="仿宋" w:eastAsia="仿宋" w:cs="仿宋"/>
          <w:color w:val="auto"/>
          <w:position w:val="0"/>
          <w:sz w:val="32"/>
          <w:szCs w:val="32"/>
        </w:rPr>
      </w:pPr>
      <w:r>
        <w:rPr>
          <w:rFonts w:hint="eastAsia" w:ascii="仿宋" w:hAnsi="仿宋" w:eastAsia="仿宋" w:cs="仿宋"/>
          <w:color w:val="auto"/>
          <w:position w:val="0"/>
          <w:sz w:val="32"/>
          <w:szCs w:val="32"/>
        </w:rPr>
        <w:t>1.多渠道公开政府信息。市教育局现已形成以抚顺教育网为主体，以抚顺政府网、政务新媒体为依托，以窗口公开、媒体公开、网络公开为载体，信息</w:t>
      </w:r>
      <w:bookmarkStart w:id="0" w:name="_GoBack"/>
      <w:bookmarkEnd w:id="0"/>
      <w:r>
        <w:rPr>
          <w:rFonts w:hint="eastAsia" w:ascii="仿宋" w:hAnsi="仿宋" w:eastAsia="仿宋" w:cs="仿宋"/>
          <w:color w:val="auto"/>
          <w:position w:val="0"/>
          <w:sz w:val="32"/>
          <w:szCs w:val="32"/>
        </w:rPr>
        <w:t>发布、资源共享的信息公开格局。在抚顺教育网上主动公开信息963条。密切配合市政务公开办做好政府信息公开目录工作，遵循政府信息公开、及时、便民的原则，将属于应当公开的政府信息逐一编号、归纳、排版，形成政府信息公开目录和教育局政府信息公开指南，并第一时间上传到抚顺市政务公开网，最大限度地方便了公民、法人和其他组织对政策信息进行查询，提高了政府机关为广大群众办实事的效率。</w:t>
      </w:r>
    </w:p>
    <w:p>
      <w:pPr>
        <w:keepNext w:val="0"/>
        <w:keepLines w:val="0"/>
        <w:pageBreakBefore w:val="0"/>
        <w:widowControl/>
        <w:numPr>
          <w:ilvl w:val="0"/>
          <w:numId w:val="0"/>
        </w:numPr>
        <w:kinsoku/>
        <w:wordWrap/>
        <w:overflowPunct/>
        <w:topLinePunct w:val="0"/>
        <w:autoSpaceDE/>
        <w:autoSpaceDN/>
        <w:bidi w:val="0"/>
        <w:adjustRightInd/>
        <w:snapToGrid/>
        <w:spacing w:before="0" w:line="560" w:lineRule="exact"/>
        <w:ind w:right="0" w:firstLine="641"/>
        <w:jc w:val="both"/>
        <w:textAlignment w:val="auto"/>
        <w:rPr>
          <w:rFonts w:hint="eastAsia" w:ascii="仿宋" w:hAnsi="仿宋" w:eastAsia="仿宋" w:cs="仿宋"/>
          <w:color w:val="auto"/>
          <w:position w:val="0"/>
          <w:sz w:val="32"/>
          <w:szCs w:val="32"/>
        </w:rPr>
      </w:pPr>
      <w:r>
        <w:rPr>
          <w:rFonts w:hint="eastAsia" w:ascii="仿宋" w:hAnsi="仿宋" w:eastAsia="仿宋" w:cs="仿宋"/>
          <w:color w:val="auto"/>
          <w:position w:val="0"/>
          <w:sz w:val="32"/>
          <w:szCs w:val="32"/>
        </w:rPr>
        <w:t>2.严格公开事项目录和信息内容标准。按照</w:t>
      </w:r>
      <w:r>
        <w:rPr>
          <w:rFonts w:hint="eastAsia" w:ascii="仿宋" w:hAnsi="仿宋" w:eastAsia="仿宋" w:cs="仿宋"/>
          <w:color w:val="000000"/>
          <w:position w:val="0"/>
          <w:sz w:val="31"/>
          <w:szCs w:val="31"/>
        </w:rPr>
        <w:t>《2020年政府公开工作要点》</w:t>
      </w:r>
      <w:r>
        <w:rPr>
          <w:rFonts w:hint="eastAsia" w:ascii="仿宋" w:hAnsi="仿宋" w:eastAsia="仿宋" w:cs="仿宋"/>
          <w:color w:val="auto"/>
          <w:position w:val="0"/>
          <w:sz w:val="32"/>
          <w:szCs w:val="32"/>
        </w:rPr>
        <w:t>的要求，做好相关信息公开工作。通过信息化手段分级、分类细化落实信息公开属性认定机制，优化信息公开属性认定流程及公开发布方式，并根据立、改、废等情况动态调整更新。</w:t>
      </w:r>
    </w:p>
    <w:p>
      <w:pPr>
        <w:keepNext w:val="0"/>
        <w:keepLines w:val="0"/>
        <w:pageBreakBefore w:val="0"/>
        <w:widowControl/>
        <w:numPr>
          <w:ilvl w:val="0"/>
          <w:numId w:val="0"/>
        </w:numPr>
        <w:kinsoku/>
        <w:wordWrap/>
        <w:overflowPunct/>
        <w:topLinePunct w:val="0"/>
        <w:autoSpaceDE/>
        <w:autoSpaceDN w:val="0"/>
        <w:bidi w:val="0"/>
        <w:adjustRightInd/>
        <w:snapToGrid/>
        <w:spacing w:before="0" w:line="560" w:lineRule="exact"/>
        <w:ind w:right="0" w:firstLine="641"/>
        <w:jc w:val="both"/>
        <w:textAlignment w:val="auto"/>
        <w:rPr>
          <w:rFonts w:hint="eastAsia" w:ascii="仿宋" w:hAnsi="仿宋" w:eastAsia="仿宋" w:cs="仿宋"/>
          <w:color w:val="auto"/>
          <w:position w:val="0"/>
          <w:sz w:val="32"/>
          <w:szCs w:val="32"/>
        </w:rPr>
      </w:pPr>
      <w:r>
        <w:rPr>
          <w:rFonts w:hint="eastAsia" w:ascii="仿宋" w:hAnsi="仿宋" w:eastAsia="仿宋" w:cs="仿宋"/>
          <w:color w:val="auto"/>
          <w:position w:val="0"/>
          <w:sz w:val="32"/>
          <w:szCs w:val="32"/>
        </w:rPr>
        <w:t>3.全面做好管理及会议信息公开。公开并及时更新市教育局涉及的权责清单。按要求公开财务信息，如中小学秋季收费标准等。及时公开教育工作会议信息，校园疫情防控信息等。</w:t>
      </w:r>
    </w:p>
    <w:p>
      <w:pPr>
        <w:keepNext w:val="0"/>
        <w:keepLines w:val="0"/>
        <w:pageBreakBefore w:val="0"/>
        <w:widowControl/>
        <w:numPr>
          <w:ilvl w:val="0"/>
          <w:numId w:val="0"/>
        </w:numPr>
        <w:kinsoku/>
        <w:wordWrap/>
        <w:overflowPunct/>
        <w:topLinePunct w:val="0"/>
        <w:autoSpaceDE/>
        <w:autoSpaceDN/>
        <w:bidi w:val="0"/>
        <w:adjustRightInd/>
        <w:snapToGrid/>
        <w:spacing w:before="0" w:line="560" w:lineRule="exact"/>
        <w:ind w:right="0" w:firstLine="641"/>
        <w:jc w:val="both"/>
        <w:textAlignment w:val="auto"/>
        <w:rPr>
          <w:rFonts w:hint="eastAsia" w:ascii="仿宋" w:hAnsi="仿宋" w:eastAsia="仿宋" w:cs="仿宋"/>
          <w:color w:val="333333"/>
          <w:position w:val="0"/>
          <w:sz w:val="32"/>
          <w:szCs w:val="32"/>
        </w:rPr>
      </w:pPr>
      <w:r>
        <w:rPr>
          <w:rFonts w:hint="eastAsia" w:ascii="仿宋" w:hAnsi="仿宋" w:eastAsia="仿宋" w:cs="仿宋"/>
          <w:color w:val="auto"/>
          <w:position w:val="0"/>
          <w:sz w:val="32"/>
          <w:szCs w:val="32"/>
        </w:rPr>
        <w:t>4.及时解读政策文件。在门户网站及时向群众公开优惠政策，通过开展专题会议、政策进校园等方式对2020年全市中考招生、规范办学及城乡一体化工作部署等进行了解读。同时对本系统制定的政策性文件，按照“谁起草、谁解读”的原则，做到政策性文件与解读材料同步组织、审签、部署、发布，文件与解读材料为链接，方便群众了解政策。</w:t>
      </w:r>
    </w:p>
    <w:p>
      <w:pPr>
        <w:numPr>
          <w:ilvl w:val="0"/>
          <w:numId w:val="0"/>
        </w:numPr>
        <w:autoSpaceDE/>
        <w:autoSpaceDN/>
        <w:spacing w:before="0" w:after="160" w:line="240" w:lineRule="auto"/>
        <w:ind w:right="0" w:firstLine="640"/>
        <w:jc w:val="both"/>
        <w:rPr>
          <w:rFonts w:hint="eastAsia" w:ascii="黑体" w:hAnsi="黑体" w:eastAsia="黑体" w:cs="黑体"/>
          <w:color w:val="auto"/>
          <w:position w:val="0"/>
          <w:sz w:val="32"/>
          <w:szCs w:val="32"/>
        </w:rPr>
      </w:pPr>
      <w:r>
        <w:rPr>
          <w:rFonts w:hint="eastAsia" w:ascii="黑体" w:hAnsi="黑体" w:eastAsia="黑体" w:cs="黑体"/>
          <w:color w:val="auto"/>
          <w:position w:val="0"/>
          <w:sz w:val="32"/>
          <w:szCs w:val="32"/>
        </w:rPr>
        <w:t>二、主动公开政府信息情况</w:t>
      </w:r>
    </w:p>
    <w:tbl>
      <w:tblPr>
        <w:tblStyle w:val="24"/>
        <w:tblW w:w="8140" w:type="dxa"/>
        <w:jc w:val="center"/>
        <w:tblLayout w:type="fixed"/>
        <w:tblCellMar>
          <w:top w:w="0" w:type="dxa"/>
          <w:left w:w="108" w:type="dxa"/>
          <w:bottom w:w="0" w:type="dxa"/>
          <w:right w:w="108" w:type="dxa"/>
        </w:tblCellMar>
      </w:tblPr>
      <w:tblGrid>
        <w:gridCol w:w="3113"/>
        <w:gridCol w:w="1875"/>
        <w:gridCol w:w="6"/>
        <w:gridCol w:w="1265"/>
        <w:gridCol w:w="1881"/>
      </w:tblGrid>
      <w:tr>
        <w:tblPrEx>
          <w:tblCellMar>
            <w:top w:w="0" w:type="dxa"/>
            <w:left w:w="108" w:type="dxa"/>
            <w:bottom w:w="0" w:type="dxa"/>
            <w:right w:w="108" w:type="dxa"/>
          </w:tblCellMar>
        </w:tblPrEx>
        <w:trPr>
          <w:trHeight w:val="495"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000000" w:fill="C6D9F1"/>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第二十条第（一）项</w:t>
            </w:r>
          </w:p>
        </w:tc>
      </w:tr>
      <w:tr>
        <w:tblPrEx>
          <w:tblCellMar>
            <w:top w:w="0" w:type="dxa"/>
            <w:left w:w="108" w:type="dxa"/>
            <w:bottom w:w="0" w:type="dxa"/>
            <w:right w:w="108" w:type="dxa"/>
          </w:tblCellMar>
        </w:tblPrEx>
        <w:trPr>
          <w:trHeight w:val="882" w:hRule="atLeast"/>
          <w:jc w:val="center"/>
        </w:trPr>
        <w:tc>
          <w:tcPr>
            <w:tcW w:w="3113" w:type="dxa"/>
            <w:tcBorders>
              <w:top w:val="nil"/>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信息内容</w:t>
            </w:r>
          </w:p>
        </w:tc>
        <w:tc>
          <w:tcPr>
            <w:tcW w:w="187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本年新</w:t>
            </w:r>
            <w:r>
              <w:rPr>
                <w:rFonts w:hint="default" w:ascii="Times New Roman" w:hAnsi="Times New Roman" w:eastAsia="Times New Roman"/>
                <w:color w:val="000000"/>
                <w:position w:val="0"/>
                <w:sz w:val="20"/>
                <w:szCs w:val="20"/>
              </w:rPr>
              <w:br w:type="textWrapping" w:clear="all"/>
            </w:r>
            <w:r>
              <w:rPr>
                <w:rFonts w:hint="default" w:ascii="Times New Roman" w:hAnsi="Times New Roman" w:eastAsia="Times New Roman"/>
                <w:color w:val="333333"/>
                <w:position w:val="0"/>
                <w:sz w:val="20"/>
                <w:szCs w:val="20"/>
              </w:rPr>
              <w:t>制作数量</w:t>
            </w:r>
          </w:p>
        </w:tc>
        <w:tc>
          <w:tcPr>
            <w:tcW w:w="1271" w:type="dxa"/>
            <w:gridSpan w:val="2"/>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本年新</w:t>
            </w:r>
            <w:r>
              <w:rPr>
                <w:rFonts w:hint="default" w:ascii="Times New Roman" w:hAnsi="Times New Roman" w:eastAsia="Times New Roman"/>
                <w:color w:val="000000"/>
                <w:position w:val="0"/>
                <w:sz w:val="20"/>
                <w:szCs w:val="20"/>
              </w:rPr>
              <w:br w:type="textWrapping" w:clear="all"/>
            </w:r>
            <w:r>
              <w:rPr>
                <w:rFonts w:hint="default" w:ascii="Times New Roman" w:hAnsi="Times New Roman" w:eastAsia="Times New Roman"/>
                <w:color w:val="333333"/>
                <w:position w:val="0"/>
                <w:sz w:val="20"/>
                <w:szCs w:val="20"/>
              </w:rPr>
              <w:t>公开数量</w:t>
            </w:r>
          </w:p>
        </w:tc>
        <w:tc>
          <w:tcPr>
            <w:tcW w:w="1881" w:type="dxa"/>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对外公开总数量</w:t>
            </w:r>
          </w:p>
        </w:tc>
      </w:tr>
      <w:tr>
        <w:tblPrEx>
          <w:tblCellMar>
            <w:top w:w="0" w:type="dxa"/>
            <w:left w:w="108" w:type="dxa"/>
            <w:bottom w:w="0" w:type="dxa"/>
            <w:right w:w="108" w:type="dxa"/>
          </w:tblCellMar>
        </w:tblPrEx>
        <w:trPr>
          <w:trHeight w:val="523" w:hRule="atLeast"/>
          <w:jc w:val="center"/>
        </w:trPr>
        <w:tc>
          <w:tcPr>
            <w:tcW w:w="3113" w:type="dxa"/>
            <w:tcBorders>
              <w:top w:val="nil"/>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规章</w:t>
            </w:r>
          </w:p>
        </w:tc>
        <w:tc>
          <w:tcPr>
            <w:tcW w:w="187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 xml:space="preserve">  0</w:t>
            </w:r>
          </w:p>
        </w:tc>
        <w:tc>
          <w:tcPr>
            <w:tcW w:w="1271" w:type="dxa"/>
            <w:gridSpan w:val="2"/>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 0</w:t>
            </w:r>
          </w:p>
        </w:tc>
        <w:tc>
          <w:tcPr>
            <w:tcW w:w="1881" w:type="dxa"/>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　0</w:t>
            </w:r>
          </w:p>
        </w:tc>
      </w:tr>
      <w:tr>
        <w:tblPrEx>
          <w:tblCellMar>
            <w:top w:w="0" w:type="dxa"/>
            <w:left w:w="108" w:type="dxa"/>
            <w:bottom w:w="0" w:type="dxa"/>
            <w:right w:w="108" w:type="dxa"/>
          </w:tblCellMar>
        </w:tblPrEx>
        <w:trPr>
          <w:trHeight w:val="471" w:hRule="atLeast"/>
          <w:jc w:val="center"/>
        </w:trPr>
        <w:tc>
          <w:tcPr>
            <w:tcW w:w="3113" w:type="dxa"/>
            <w:tcBorders>
              <w:top w:val="nil"/>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规范性文件</w:t>
            </w:r>
          </w:p>
        </w:tc>
        <w:tc>
          <w:tcPr>
            <w:tcW w:w="1875" w:type="dxa"/>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 xml:space="preserve">  0</w:t>
            </w:r>
          </w:p>
        </w:tc>
        <w:tc>
          <w:tcPr>
            <w:tcW w:w="1271" w:type="dxa"/>
            <w:gridSpan w:val="2"/>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 0</w:t>
            </w:r>
          </w:p>
        </w:tc>
        <w:tc>
          <w:tcPr>
            <w:tcW w:w="1881" w:type="dxa"/>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　0</w:t>
            </w:r>
          </w:p>
        </w:tc>
      </w:tr>
      <w:tr>
        <w:tblPrEx>
          <w:tblCellMar>
            <w:top w:w="0" w:type="dxa"/>
            <w:left w:w="108" w:type="dxa"/>
            <w:bottom w:w="0" w:type="dxa"/>
            <w:right w:w="108" w:type="dxa"/>
          </w:tblCellMar>
        </w:tblPrEx>
        <w:trPr>
          <w:trHeight w:val="480"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000000" w:fill="C6D9F1"/>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第二十条第（五）项</w:t>
            </w:r>
          </w:p>
        </w:tc>
      </w:tr>
      <w:tr>
        <w:tblPrEx>
          <w:tblCellMar>
            <w:top w:w="0" w:type="dxa"/>
            <w:left w:w="108" w:type="dxa"/>
            <w:bottom w:w="0" w:type="dxa"/>
            <w:right w:w="108" w:type="dxa"/>
          </w:tblCellMar>
        </w:tblPrEx>
        <w:trPr>
          <w:trHeight w:val="634" w:hRule="atLeast"/>
          <w:jc w:val="center"/>
        </w:trPr>
        <w:tc>
          <w:tcPr>
            <w:tcW w:w="3113" w:type="dxa"/>
            <w:tcBorders>
              <w:top w:val="nil"/>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信息内容</w:t>
            </w:r>
          </w:p>
        </w:tc>
        <w:tc>
          <w:tcPr>
            <w:tcW w:w="187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上一年项目数量</w:t>
            </w:r>
          </w:p>
        </w:tc>
        <w:tc>
          <w:tcPr>
            <w:tcW w:w="1271" w:type="dxa"/>
            <w:gridSpan w:val="2"/>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本年增/减</w:t>
            </w:r>
          </w:p>
        </w:tc>
        <w:tc>
          <w:tcPr>
            <w:tcW w:w="1881" w:type="dxa"/>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处理决定数量</w:t>
            </w:r>
          </w:p>
        </w:tc>
      </w:tr>
      <w:tr>
        <w:tblPrEx>
          <w:tblCellMar>
            <w:top w:w="0" w:type="dxa"/>
            <w:left w:w="108" w:type="dxa"/>
            <w:bottom w:w="0" w:type="dxa"/>
            <w:right w:w="108" w:type="dxa"/>
          </w:tblCellMar>
        </w:tblPrEx>
        <w:trPr>
          <w:trHeight w:val="528" w:hRule="atLeast"/>
          <w:jc w:val="center"/>
        </w:trPr>
        <w:tc>
          <w:tcPr>
            <w:tcW w:w="3113" w:type="dxa"/>
            <w:tcBorders>
              <w:top w:val="nil"/>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000000"/>
                <w:position w:val="0"/>
                <w:sz w:val="20"/>
                <w:szCs w:val="20"/>
              </w:rPr>
            </w:pPr>
            <w:r>
              <w:rPr>
                <w:rFonts w:hint="default" w:ascii="Times New Roman" w:hAnsi="Times New Roman" w:eastAsia="Times New Roman"/>
                <w:color w:val="000000"/>
                <w:position w:val="0"/>
                <w:sz w:val="20"/>
                <w:szCs w:val="20"/>
              </w:rPr>
              <w:t>行政许可</w:t>
            </w:r>
          </w:p>
        </w:tc>
        <w:tc>
          <w:tcPr>
            <w:tcW w:w="1881" w:type="dxa"/>
            <w:gridSpan w:val="2"/>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000000"/>
                <w:position w:val="0"/>
                <w:sz w:val="20"/>
                <w:szCs w:val="20"/>
              </w:rPr>
            </w:pPr>
            <w:r>
              <w:rPr>
                <w:rFonts w:hint="default" w:ascii="Times New Roman" w:hAnsi="Times New Roman" w:eastAsia="Times New Roman"/>
                <w:color w:val="000000"/>
                <w:position w:val="0"/>
                <w:sz w:val="20"/>
                <w:szCs w:val="20"/>
              </w:rPr>
              <w:t xml:space="preserve">  6</w:t>
            </w:r>
          </w:p>
        </w:tc>
        <w:tc>
          <w:tcPr>
            <w:tcW w:w="1265" w:type="dxa"/>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000000"/>
                <w:position w:val="0"/>
                <w:sz w:val="20"/>
                <w:szCs w:val="20"/>
              </w:rPr>
            </w:pPr>
            <w:r>
              <w:rPr>
                <w:rFonts w:hint="default" w:ascii="Times New Roman" w:hAnsi="Times New Roman" w:eastAsia="Times New Roman"/>
                <w:color w:val="000000"/>
                <w:position w:val="0"/>
                <w:sz w:val="20"/>
                <w:szCs w:val="20"/>
              </w:rPr>
              <w:t>　0</w:t>
            </w:r>
          </w:p>
        </w:tc>
        <w:tc>
          <w:tcPr>
            <w:tcW w:w="1881" w:type="dxa"/>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000000"/>
                <w:position w:val="0"/>
                <w:sz w:val="20"/>
                <w:szCs w:val="20"/>
              </w:rPr>
            </w:pPr>
            <w:r>
              <w:rPr>
                <w:rFonts w:hint="default" w:ascii="Times New Roman" w:hAnsi="Times New Roman" w:eastAsia="Times New Roman"/>
                <w:color w:val="000000"/>
                <w:position w:val="0"/>
                <w:sz w:val="20"/>
                <w:szCs w:val="20"/>
              </w:rPr>
              <w:t>　87</w:t>
            </w:r>
          </w:p>
        </w:tc>
      </w:tr>
      <w:tr>
        <w:tblPrEx>
          <w:tblCellMar>
            <w:top w:w="0" w:type="dxa"/>
            <w:left w:w="108" w:type="dxa"/>
            <w:bottom w:w="0" w:type="dxa"/>
            <w:right w:w="108" w:type="dxa"/>
          </w:tblCellMar>
        </w:tblPrEx>
        <w:trPr>
          <w:trHeight w:val="724" w:hRule="atLeast"/>
          <w:jc w:val="center"/>
        </w:trPr>
        <w:tc>
          <w:tcPr>
            <w:tcW w:w="3113" w:type="dxa"/>
            <w:tcBorders>
              <w:top w:val="nil"/>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000000"/>
                <w:position w:val="0"/>
                <w:sz w:val="20"/>
                <w:szCs w:val="20"/>
              </w:rPr>
            </w:pPr>
            <w:r>
              <w:rPr>
                <w:rFonts w:hint="default" w:ascii="Times New Roman" w:hAnsi="Times New Roman" w:eastAsia="Times New Roman"/>
                <w:color w:val="000000"/>
                <w:position w:val="0"/>
                <w:sz w:val="20"/>
                <w:szCs w:val="20"/>
              </w:rPr>
              <w:t>其他对外管理服务事项</w:t>
            </w:r>
          </w:p>
        </w:tc>
        <w:tc>
          <w:tcPr>
            <w:tcW w:w="1881" w:type="dxa"/>
            <w:gridSpan w:val="2"/>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000000"/>
                <w:position w:val="0"/>
                <w:sz w:val="20"/>
                <w:szCs w:val="20"/>
              </w:rPr>
            </w:pPr>
            <w:r>
              <w:rPr>
                <w:rFonts w:hint="default" w:ascii="Times New Roman" w:hAnsi="Times New Roman" w:eastAsia="Times New Roman"/>
                <w:color w:val="000000"/>
                <w:position w:val="0"/>
                <w:sz w:val="20"/>
                <w:szCs w:val="20"/>
              </w:rPr>
              <w:t>　11</w:t>
            </w:r>
          </w:p>
        </w:tc>
        <w:tc>
          <w:tcPr>
            <w:tcW w:w="1265" w:type="dxa"/>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000000"/>
                <w:position w:val="0"/>
                <w:sz w:val="20"/>
                <w:szCs w:val="20"/>
              </w:rPr>
            </w:pPr>
            <w:r>
              <w:rPr>
                <w:rFonts w:hint="default" w:ascii="Times New Roman" w:hAnsi="Times New Roman" w:eastAsia="Times New Roman"/>
                <w:color w:val="000000"/>
                <w:position w:val="0"/>
                <w:sz w:val="20"/>
                <w:szCs w:val="20"/>
              </w:rPr>
              <w:t>　0</w:t>
            </w:r>
          </w:p>
        </w:tc>
        <w:tc>
          <w:tcPr>
            <w:tcW w:w="1881" w:type="dxa"/>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000000"/>
                <w:position w:val="0"/>
                <w:sz w:val="20"/>
                <w:szCs w:val="20"/>
              </w:rPr>
            </w:pPr>
            <w:r>
              <w:rPr>
                <w:rFonts w:hint="default" w:ascii="Times New Roman" w:hAnsi="Times New Roman" w:eastAsia="Times New Roman"/>
                <w:color w:val="000000"/>
                <w:position w:val="0"/>
                <w:sz w:val="20"/>
                <w:szCs w:val="20"/>
              </w:rPr>
              <w:t>　244</w:t>
            </w:r>
          </w:p>
        </w:tc>
      </w:tr>
      <w:tr>
        <w:tblPrEx>
          <w:tblCellMar>
            <w:top w:w="0" w:type="dxa"/>
            <w:left w:w="108" w:type="dxa"/>
            <w:bottom w:w="0" w:type="dxa"/>
            <w:right w:w="108" w:type="dxa"/>
          </w:tblCellMar>
        </w:tblPrEx>
        <w:trPr>
          <w:trHeight w:val="406"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000000" w:fill="C6D9F1"/>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第二十条第（六）项</w:t>
            </w:r>
          </w:p>
        </w:tc>
      </w:tr>
      <w:tr>
        <w:tblPrEx>
          <w:tblCellMar>
            <w:top w:w="0" w:type="dxa"/>
            <w:left w:w="108" w:type="dxa"/>
            <w:bottom w:w="0" w:type="dxa"/>
            <w:right w:w="108" w:type="dxa"/>
          </w:tblCellMar>
        </w:tblPrEx>
        <w:trPr>
          <w:trHeight w:val="634" w:hRule="atLeast"/>
          <w:jc w:val="center"/>
        </w:trPr>
        <w:tc>
          <w:tcPr>
            <w:tcW w:w="3113" w:type="dxa"/>
            <w:tcBorders>
              <w:top w:val="nil"/>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信息内容</w:t>
            </w:r>
          </w:p>
        </w:tc>
        <w:tc>
          <w:tcPr>
            <w:tcW w:w="187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上一年项目数量</w:t>
            </w:r>
          </w:p>
        </w:tc>
        <w:tc>
          <w:tcPr>
            <w:tcW w:w="1271" w:type="dxa"/>
            <w:gridSpan w:val="2"/>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本年增/减</w:t>
            </w:r>
          </w:p>
        </w:tc>
        <w:tc>
          <w:tcPr>
            <w:tcW w:w="1881" w:type="dxa"/>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处理决定数量</w:t>
            </w:r>
          </w:p>
        </w:tc>
      </w:tr>
      <w:tr>
        <w:tblPrEx>
          <w:tblCellMar>
            <w:top w:w="0" w:type="dxa"/>
            <w:left w:w="108" w:type="dxa"/>
            <w:bottom w:w="0" w:type="dxa"/>
            <w:right w:w="108" w:type="dxa"/>
          </w:tblCellMar>
        </w:tblPrEx>
        <w:trPr>
          <w:trHeight w:val="546" w:hRule="atLeast"/>
          <w:jc w:val="center"/>
        </w:trPr>
        <w:tc>
          <w:tcPr>
            <w:tcW w:w="3113" w:type="dxa"/>
            <w:tcBorders>
              <w:top w:val="nil"/>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000000"/>
                <w:position w:val="0"/>
                <w:sz w:val="20"/>
                <w:szCs w:val="20"/>
              </w:rPr>
            </w:pPr>
            <w:r>
              <w:rPr>
                <w:rFonts w:hint="default" w:ascii="Times New Roman" w:hAnsi="Times New Roman" w:eastAsia="Times New Roman"/>
                <w:color w:val="000000"/>
                <w:position w:val="0"/>
                <w:sz w:val="20"/>
                <w:szCs w:val="20"/>
              </w:rPr>
              <w:t>行政处罚</w:t>
            </w:r>
          </w:p>
        </w:tc>
        <w:tc>
          <w:tcPr>
            <w:tcW w:w="1881" w:type="dxa"/>
            <w:gridSpan w:val="2"/>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000000"/>
                <w:position w:val="0"/>
                <w:sz w:val="20"/>
                <w:szCs w:val="20"/>
              </w:rPr>
            </w:pPr>
            <w:r>
              <w:rPr>
                <w:rFonts w:hint="default" w:ascii="Times New Roman" w:hAnsi="Times New Roman" w:eastAsia="Times New Roman"/>
                <w:color w:val="000000"/>
                <w:position w:val="0"/>
                <w:sz w:val="20"/>
                <w:szCs w:val="20"/>
              </w:rPr>
              <w:t>　5</w:t>
            </w:r>
          </w:p>
        </w:tc>
        <w:tc>
          <w:tcPr>
            <w:tcW w:w="12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000000"/>
                <w:position w:val="0"/>
                <w:sz w:val="20"/>
                <w:szCs w:val="20"/>
              </w:rPr>
            </w:pPr>
            <w:r>
              <w:rPr>
                <w:rFonts w:hint="default" w:ascii="Times New Roman" w:hAnsi="Times New Roman" w:eastAsia="Times New Roman"/>
                <w:color w:val="000000"/>
                <w:position w:val="0"/>
                <w:sz w:val="20"/>
                <w:szCs w:val="20"/>
              </w:rPr>
              <w:t>　0</w:t>
            </w:r>
          </w:p>
        </w:tc>
        <w:tc>
          <w:tcPr>
            <w:tcW w:w="1881" w:type="dxa"/>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000000"/>
                <w:position w:val="0"/>
                <w:sz w:val="20"/>
                <w:szCs w:val="20"/>
              </w:rPr>
            </w:pPr>
            <w:r>
              <w:rPr>
                <w:rFonts w:hint="default" w:ascii="Times New Roman" w:hAnsi="Times New Roman" w:eastAsia="Times New Roman"/>
                <w:color w:val="000000"/>
                <w:position w:val="0"/>
                <w:sz w:val="20"/>
                <w:szCs w:val="20"/>
              </w:rPr>
              <w:t>　0</w:t>
            </w:r>
          </w:p>
        </w:tc>
      </w:tr>
      <w:tr>
        <w:tblPrEx>
          <w:tblCellMar>
            <w:top w:w="0" w:type="dxa"/>
            <w:left w:w="108" w:type="dxa"/>
            <w:bottom w:w="0" w:type="dxa"/>
            <w:right w:w="108" w:type="dxa"/>
          </w:tblCellMar>
        </w:tblPrEx>
        <w:trPr>
          <w:trHeight w:val="409" w:hRule="atLeast"/>
          <w:jc w:val="center"/>
        </w:trPr>
        <w:tc>
          <w:tcPr>
            <w:tcW w:w="3113" w:type="dxa"/>
            <w:tcBorders>
              <w:top w:val="nil"/>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行政强制</w:t>
            </w:r>
          </w:p>
        </w:tc>
        <w:tc>
          <w:tcPr>
            <w:tcW w:w="1881" w:type="dxa"/>
            <w:gridSpan w:val="2"/>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　0</w:t>
            </w:r>
          </w:p>
        </w:tc>
        <w:tc>
          <w:tcPr>
            <w:tcW w:w="1265" w:type="dxa"/>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　0</w:t>
            </w:r>
          </w:p>
        </w:tc>
        <w:tc>
          <w:tcPr>
            <w:tcW w:w="1881" w:type="dxa"/>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　0</w:t>
            </w:r>
          </w:p>
        </w:tc>
      </w:tr>
      <w:tr>
        <w:tblPrEx>
          <w:tblCellMar>
            <w:top w:w="0" w:type="dxa"/>
            <w:left w:w="108" w:type="dxa"/>
            <w:bottom w:w="0" w:type="dxa"/>
            <w:right w:w="108" w:type="dxa"/>
          </w:tblCellMar>
        </w:tblPrEx>
        <w:trPr>
          <w:trHeight w:val="474"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000000" w:fill="C6D9F1"/>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第二十条第（八）项</w:t>
            </w:r>
          </w:p>
        </w:tc>
      </w:tr>
      <w:tr>
        <w:tblPrEx>
          <w:tblCellMar>
            <w:top w:w="0" w:type="dxa"/>
            <w:left w:w="108" w:type="dxa"/>
            <w:bottom w:w="0" w:type="dxa"/>
            <w:right w:w="108" w:type="dxa"/>
          </w:tblCellMar>
        </w:tblPrEx>
        <w:trPr>
          <w:trHeight w:val="270" w:hRule="atLeast"/>
          <w:jc w:val="center"/>
        </w:trPr>
        <w:tc>
          <w:tcPr>
            <w:tcW w:w="3113" w:type="dxa"/>
            <w:tcBorders>
              <w:top w:val="nil"/>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信息内容</w:t>
            </w:r>
          </w:p>
        </w:tc>
        <w:tc>
          <w:tcPr>
            <w:tcW w:w="1881" w:type="dxa"/>
            <w:gridSpan w:val="2"/>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上一年项目数量</w:t>
            </w:r>
          </w:p>
        </w:tc>
        <w:tc>
          <w:tcPr>
            <w:tcW w:w="3146" w:type="dxa"/>
            <w:gridSpan w:val="2"/>
            <w:tcBorders>
              <w:top w:val="single" w:color="auto" w:sz="4" w:space="0"/>
              <w:left w:val="nil"/>
              <w:bottom w:val="single" w:color="auto" w:sz="4" w:space="0"/>
              <w:right w:val="single" w:color="000000"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本年增/减</w:t>
            </w:r>
          </w:p>
        </w:tc>
      </w:tr>
      <w:tr>
        <w:tblPrEx>
          <w:tblCellMar>
            <w:top w:w="0" w:type="dxa"/>
            <w:left w:w="108" w:type="dxa"/>
            <w:bottom w:w="0" w:type="dxa"/>
            <w:right w:w="108" w:type="dxa"/>
          </w:tblCellMar>
        </w:tblPrEx>
        <w:trPr>
          <w:trHeight w:val="551" w:hRule="atLeast"/>
          <w:jc w:val="center"/>
        </w:trPr>
        <w:tc>
          <w:tcPr>
            <w:tcW w:w="3113" w:type="dxa"/>
            <w:tcBorders>
              <w:top w:val="nil"/>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行政事业性收费</w:t>
            </w:r>
          </w:p>
        </w:tc>
        <w:tc>
          <w:tcPr>
            <w:tcW w:w="1881" w:type="dxa"/>
            <w:gridSpan w:val="2"/>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　1</w:t>
            </w:r>
          </w:p>
        </w:tc>
        <w:tc>
          <w:tcPr>
            <w:tcW w:w="3146" w:type="dxa"/>
            <w:gridSpan w:val="2"/>
            <w:tcBorders>
              <w:top w:val="single" w:color="auto" w:sz="4" w:space="0"/>
              <w:left w:val="nil"/>
              <w:bottom w:val="single" w:color="auto" w:sz="4" w:space="0"/>
              <w:right w:val="single" w:color="000000"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 0</w:t>
            </w:r>
          </w:p>
        </w:tc>
      </w:tr>
      <w:tr>
        <w:tblPrEx>
          <w:tblCellMar>
            <w:top w:w="0" w:type="dxa"/>
            <w:left w:w="108" w:type="dxa"/>
            <w:bottom w:w="0" w:type="dxa"/>
            <w:right w:w="108" w:type="dxa"/>
          </w:tblCellMar>
        </w:tblPrEx>
        <w:trPr>
          <w:trHeight w:val="476"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000000" w:fill="C6D9F1"/>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第二十条第（九）项</w:t>
            </w:r>
          </w:p>
        </w:tc>
      </w:tr>
      <w:tr>
        <w:tblPrEx>
          <w:tblCellMar>
            <w:top w:w="0" w:type="dxa"/>
            <w:left w:w="108" w:type="dxa"/>
            <w:bottom w:w="0" w:type="dxa"/>
            <w:right w:w="108" w:type="dxa"/>
          </w:tblCellMar>
        </w:tblPrEx>
        <w:trPr>
          <w:trHeight w:val="585" w:hRule="atLeast"/>
          <w:jc w:val="center"/>
        </w:trPr>
        <w:tc>
          <w:tcPr>
            <w:tcW w:w="3113" w:type="dxa"/>
            <w:tcBorders>
              <w:top w:val="nil"/>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信息内容</w:t>
            </w:r>
          </w:p>
        </w:tc>
        <w:tc>
          <w:tcPr>
            <w:tcW w:w="1881" w:type="dxa"/>
            <w:gridSpan w:val="2"/>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采购项目数量</w:t>
            </w:r>
          </w:p>
        </w:tc>
        <w:tc>
          <w:tcPr>
            <w:tcW w:w="3146" w:type="dxa"/>
            <w:gridSpan w:val="2"/>
            <w:tcBorders>
              <w:top w:val="single" w:color="auto" w:sz="4" w:space="0"/>
              <w:left w:val="nil"/>
              <w:bottom w:val="single" w:color="auto" w:sz="4" w:space="0"/>
              <w:right w:val="single" w:color="000000"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采购总金额</w:t>
            </w:r>
          </w:p>
        </w:tc>
      </w:tr>
      <w:tr>
        <w:tblPrEx>
          <w:tblCellMar>
            <w:top w:w="0" w:type="dxa"/>
            <w:left w:w="108" w:type="dxa"/>
            <w:bottom w:w="0" w:type="dxa"/>
            <w:right w:w="108" w:type="dxa"/>
          </w:tblCellMar>
        </w:tblPrEx>
        <w:trPr>
          <w:trHeight w:val="539" w:hRule="atLeast"/>
          <w:jc w:val="center"/>
        </w:trPr>
        <w:tc>
          <w:tcPr>
            <w:tcW w:w="3113" w:type="dxa"/>
            <w:tcBorders>
              <w:top w:val="nil"/>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政府集中采购</w:t>
            </w:r>
          </w:p>
        </w:tc>
        <w:tc>
          <w:tcPr>
            <w:tcW w:w="1881" w:type="dxa"/>
            <w:gridSpan w:val="2"/>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0</w:t>
            </w:r>
          </w:p>
        </w:tc>
        <w:tc>
          <w:tcPr>
            <w:tcW w:w="3146" w:type="dxa"/>
            <w:gridSpan w:val="2"/>
            <w:tcBorders>
              <w:top w:val="single" w:color="auto" w:sz="4" w:space="0"/>
              <w:left w:val="nil"/>
              <w:bottom w:val="single" w:color="auto" w:sz="4" w:space="0"/>
              <w:right w:val="single" w:color="000000"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1"/>
                <w:szCs w:val="21"/>
              </w:rPr>
              <w:t>0</w:t>
            </w:r>
          </w:p>
        </w:tc>
      </w:tr>
    </w:tbl>
    <w:p>
      <w:pPr>
        <w:numPr>
          <w:ilvl w:val="0"/>
          <w:numId w:val="0"/>
        </w:numPr>
        <w:autoSpaceDE/>
        <w:autoSpaceDN/>
        <w:spacing w:before="0" w:after="160" w:line="432" w:lineRule="auto"/>
        <w:ind w:right="0"/>
        <w:jc w:val="both"/>
        <w:rPr>
          <w:rFonts w:hint="default" w:ascii="Times New Roman" w:hAnsi="Times New Roman" w:eastAsia="Times New Roman"/>
          <w:color w:val="333333"/>
          <w:position w:val="0"/>
          <w:sz w:val="32"/>
          <w:szCs w:val="32"/>
        </w:rPr>
      </w:pPr>
    </w:p>
    <w:p>
      <w:pPr>
        <w:numPr>
          <w:ilvl w:val="0"/>
          <w:numId w:val="0"/>
        </w:numPr>
        <w:autoSpaceDE/>
        <w:autoSpaceDN/>
        <w:spacing w:before="0" w:after="160" w:line="240" w:lineRule="auto"/>
        <w:ind w:right="0" w:firstLine="643"/>
        <w:jc w:val="both"/>
        <w:rPr>
          <w:rFonts w:hint="eastAsia" w:ascii="黑体" w:hAnsi="黑体" w:eastAsia="黑体" w:cs="黑体"/>
          <w:b w:val="0"/>
          <w:bCs/>
          <w:color w:val="333333"/>
          <w:position w:val="0"/>
          <w:sz w:val="32"/>
          <w:szCs w:val="32"/>
        </w:rPr>
      </w:pPr>
      <w:r>
        <w:rPr>
          <w:rFonts w:hint="eastAsia" w:ascii="黑体" w:hAnsi="黑体" w:eastAsia="黑体" w:cs="黑体"/>
          <w:b w:val="0"/>
          <w:bCs/>
          <w:color w:val="333333"/>
          <w:position w:val="0"/>
          <w:sz w:val="32"/>
          <w:szCs w:val="32"/>
        </w:rPr>
        <w:t>三、收到和处理政府信息公开申请情况</w:t>
      </w:r>
    </w:p>
    <w:tbl>
      <w:tblPr>
        <w:tblStyle w:val="24"/>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tc>
        <w:tc>
          <w:tcPr>
            <w:tcW w:w="825" w:type="dxa"/>
            <w:vMerge w:val="restart"/>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自然人</w:t>
            </w:r>
          </w:p>
        </w:tc>
        <w:tc>
          <w:tcPr>
            <w:tcW w:w="4065" w:type="dxa"/>
            <w:gridSpan w:val="5"/>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tc>
        <w:tc>
          <w:tcPr>
            <w:tcW w:w="825" w:type="dxa"/>
            <w:vMerge w:val="continue"/>
            <w:tcBorders>
              <w:top w:val="nil"/>
              <w:left w:val="nil"/>
              <w:bottom w:val="single" w:color="auto" w:sz="4" w:space="0"/>
              <w:right w:val="single" w:color="auto" w:sz="4" w:space="0"/>
            </w:tcBorders>
            <w:vAlign w:val="center"/>
          </w:tcP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商业企业</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科研机构</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社会公益组织</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法律服务机构</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其他</w:t>
            </w:r>
          </w:p>
        </w:tc>
        <w:tc>
          <w:tcPr>
            <w:tcW w:w="702" w:type="dxa"/>
            <w:vMerge w:val="continue"/>
            <w:tcBorders>
              <w:top w:val="single" w:color="auto" w:sz="4" w:space="0"/>
              <w:left w:val="nil"/>
              <w:bottom w:val="single" w:color="auto" w:sz="4" w:space="0"/>
              <w:right w:val="single" w:color="auto" w:sz="4" w:space="0"/>
            </w:tcBorders>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0</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4" w:type="dxa"/>
            <w:vMerge w:val="restart"/>
            <w:tcBorders>
              <w:top w:val="nil"/>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（一）予以公开</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tc>
        <w:tc>
          <w:tcPr>
            <w:tcW w:w="2985" w:type="dxa"/>
            <w:gridSpan w:val="2"/>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tc>
        <w:tc>
          <w:tcPr>
            <w:tcW w:w="855" w:type="dxa"/>
            <w:vMerge w:val="restart"/>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（三）不予公开</w:t>
            </w:r>
          </w:p>
        </w:tc>
        <w:tc>
          <w:tcPr>
            <w:tcW w:w="213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1.属于国家秘密</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tc>
        <w:tc>
          <w:tcPr>
            <w:tcW w:w="855" w:type="dxa"/>
            <w:vMerge w:val="continue"/>
            <w:tcBorders>
              <w:top w:val="nil"/>
              <w:left w:val="nil"/>
              <w:bottom w:val="single" w:color="auto" w:sz="4" w:space="0"/>
              <w:right w:val="single" w:color="auto" w:sz="4" w:space="0"/>
            </w:tcBorders>
            <w:vAlign w:val="center"/>
          </w:tcPr>
          <w:p/>
        </w:tc>
        <w:tc>
          <w:tcPr>
            <w:tcW w:w="213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tc>
        <w:tc>
          <w:tcPr>
            <w:tcW w:w="855" w:type="dxa"/>
            <w:vMerge w:val="continue"/>
            <w:tcBorders>
              <w:top w:val="nil"/>
              <w:left w:val="nil"/>
              <w:bottom w:val="single" w:color="auto" w:sz="4" w:space="0"/>
              <w:right w:val="single" w:color="auto" w:sz="4" w:space="0"/>
            </w:tcBorders>
            <w:vAlign w:val="center"/>
          </w:tcPr>
          <w:p/>
        </w:tc>
        <w:tc>
          <w:tcPr>
            <w:tcW w:w="213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3.危及“三安全一稳定”</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tc>
        <w:tc>
          <w:tcPr>
            <w:tcW w:w="855" w:type="dxa"/>
            <w:vMerge w:val="continue"/>
            <w:tcBorders>
              <w:top w:val="nil"/>
              <w:left w:val="nil"/>
              <w:bottom w:val="single" w:color="auto" w:sz="4" w:space="0"/>
              <w:right w:val="single" w:color="auto" w:sz="4" w:space="0"/>
            </w:tcBorders>
            <w:vAlign w:val="center"/>
          </w:tcPr>
          <w:p/>
        </w:tc>
        <w:tc>
          <w:tcPr>
            <w:tcW w:w="213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4.保护第三方合法权益</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tc>
        <w:tc>
          <w:tcPr>
            <w:tcW w:w="855" w:type="dxa"/>
            <w:vMerge w:val="continue"/>
            <w:tcBorders>
              <w:top w:val="nil"/>
              <w:left w:val="nil"/>
              <w:bottom w:val="single" w:color="auto" w:sz="4" w:space="0"/>
              <w:right w:val="single" w:color="auto" w:sz="4" w:space="0"/>
            </w:tcBorders>
            <w:vAlign w:val="center"/>
          </w:tcPr>
          <w:p/>
        </w:tc>
        <w:tc>
          <w:tcPr>
            <w:tcW w:w="213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5.属于三类内部事务信息</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tc>
        <w:tc>
          <w:tcPr>
            <w:tcW w:w="855" w:type="dxa"/>
            <w:vMerge w:val="continue"/>
            <w:tcBorders>
              <w:top w:val="nil"/>
              <w:left w:val="nil"/>
              <w:bottom w:val="single" w:color="auto" w:sz="4" w:space="0"/>
              <w:right w:val="single" w:color="auto" w:sz="4" w:space="0"/>
            </w:tcBorders>
            <w:vAlign w:val="center"/>
          </w:tcPr>
          <w:p/>
        </w:tc>
        <w:tc>
          <w:tcPr>
            <w:tcW w:w="213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6.属于四类过程性信息</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tc>
        <w:tc>
          <w:tcPr>
            <w:tcW w:w="855" w:type="dxa"/>
            <w:vMerge w:val="continue"/>
            <w:tcBorders>
              <w:top w:val="nil"/>
              <w:left w:val="nil"/>
              <w:bottom w:val="single" w:color="auto" w:sz="4" w:space="0"/>
              <w:right w:val="single" w:color="auto" w:sz="4" w:space="0"/>
            </w:tcBorders>
            <w:vAlign w:val="center"/>
          </w:tcPr>
          <w:p/>
        </w:tc>
        <w:tc>
          <w:tcPr>
            <w:tcW w:w="213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7.属于行政执法案卷</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tc>
        <w:tc>
          <w:tcPr>
            <w:tcW w:w="855" w:type="dxa"/>
            <w:vMerge w:val="continue"/>
            <w:tcBorders>
              <w:top w:val="nil"/>
              <w:left w:val="nil"/>
              <w:bottom w:val="single" w:color="auto" w:sz="4" w:space="0"/>
              <w:right w:val="single" w:color="auto" w:sz="4" w:space="0"/>
            </w:tcBorders>
            <w:vAlign w:val="center"/>
          </w:tcPr>
          <w:p/>
        </w:tc>
        <w:tc>
          <w:tcPr>
            <w:tcW w:w="213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8.属于行政查询事项</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tc>
        <w:tc>
          <w:tcPr>
            <w:tcW w:w="855" w:type="dxa"/>
            <w:vMerge w:val="restart"/>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（四）无法提供</w:t>
            </w:r>
          </w:p>
        </w:tc>
        <w:tc>
          <w:tcPr>
            <w:tcW w:w="213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0 </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0</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tc>
        <w:tc>
          <w:tcPr>
            <w:tcW w:w="855" w:type="dxa"/>
            <w:vMerge w:val="continue"/>
            <w:tcBorders>
              <w:top w:val="nil"/>
              <w:left w:val="nil"/>
              <w:bottom w:val="single" w:color="auto" w:sz="4" w:space="0"/>
              <w:right w:val="single" w:color="auto" w:sz="4" w:space="0"/>
            </w:tcBorders>
            <w:vAlign w:val="center"/>
          </w:tcPr>
          <w:p/>
        </w:tc>
        <w:tc>
          <w:tcPr>
            <w:tcW w:w="213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tc>
        <w:tc>
          <w:tcPr>
            <w:tcW w:w="855" w:type="dxa"/>
            <w:vMerge w:val="continue"/>
            <w:tcBorders>
              <w:top w:val="nil"/>
              <w:left w:val="nil"/>
              <w:bottom w:val="single" w:color="auto" w:sz="4" w:space="0"/>
              <w:right w:val="single" w:color="auto" w:sz="4" w:space="0"/>
            </w:tcBorders>
            <w:vAlign w:val="center"/>
          </w:tcPr>
          <w:p/>
        </w:tc>
        <w:tc>
          <w:tcPr>
            <w:tcW w:w="213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tc>
        <w:tc>
          <w:tcPr>
            <w:tcW w:w="855" w:type="dxa"/>
            <w:vMerge w:val="restart"/>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（五）不予处理</w:t>
            </w:r>
          </w:p>
        </w:tc>
        <w:tc>
          <w:tcPr>
            <w:tcW w:w="213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1.信访举报投诉类申请</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tc>
        <w:tc>
          <w:tcPr>
            <w:tcW w:w="855" w:type="dxa"/>
            <w:vMerge w:val="continue"/>
            <w:tcBorders>
              <w:top w:val="nil"/>
              <w:left w:val="nil"/>
              <w:bottom w:val="single" w:color="auto" w:sz="4" w:space="0"/>
              <w:right w:val="single" w:color="auto" w:sz="4" w:space="0"/>
            </w:tcBorders>
            <w:vAlign w:val="center"/>
          </w:tcPr>
          <w:p/>
        </w:tc>
        <w:tc>
          <w:tcPr>
            <w:tcW w:w="213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2.重复申请</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tc>
        <w:tc>
          <w:tcPr>
            <w:tcW w:w="855" w:type="dxa"/>
            <w:vMerge w:val="continue"/>
            <w:tcBorders>
              <w:top w:val="nil"/>
              <w:left w:val="nil"/>
              <w:bottom w:val="single" w:color="auto" w:sz="4" w:space="0"/>
              <w:right w:val="single" w:color="auto" w:sz="4" w:space="0"/>
            </w:tcBorders>
            <w:vAlign w:val="center"/>
          </w:tcPr>
          <w:p/>
        </w:tc>
        <w:tc>
          <w:tcPr>
            <w:tcW w:w="213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3.要求提供公开出版物</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tc>
        <w:tc>
          <w:tcPr>
            <w:tcW w:w="855" w:type="dxa"/>
            <w:vMerge w:val="continue"/>
            <w:tcBorders>
              <w:top w:val="nil"/>
              <w:left w:val="nil"/>
              <w:bottom w:val="single" w:color="auto" w:sz="4" w:space="0"/>
              <w:right w:val="single" w:color="auto" w:sz="4" w:space="0"/>
            </w:tcBorders>
            <w:vAlign w:val="center"/>
          </w:tcPr>
          <w:p/>
        </w:tc>
        <w:tc>
          <w:tcPr>
            <w:tcW w:w="213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tc>
        <w:tc>
          <w:tcPr>
            <w:tcW w:w="855" w:type="dxa"/>
            <w:vMerge w:val="continue"/>
            <w:tcBorders>
              <w:top w:val="nil"/>
              <w:left w:val="nil"/>
              <w:bottom w:val="single" w:color="auto" w:sz="4" w:space="0"/>
              <w:right w:val="single" w:color="auto" w:sz="4" w:space="0"/>
            </w:tcBorders>
            <w:vAlign w:val="center"/>
          </w:tcPr>
          <w:p/>
        </w:tc>
        <w:tc>
          <w:tcPr>
            <w:tcW w:w="213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tc>
        <w:tc>
          <w:tcPr>
            <w:tcW w:w="2985" w:type="dxa"/>
            <w:gridSpan w:val="2"/>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（六）其他处理</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tc>
        <w:tc>
          <w:tcPr>
            <w:tcW w:w="2985" w:type="dxa"/>
            <w:gridSpan w:val="2"/>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（七）总计</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left"/>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四、结转下年度继续办理</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76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82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99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2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c>
          <w:tcPr>
            <w:tcW w:w="702"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 </w:t>
            </w:r>
          </w:p>
        </w:tc>
      </w:tr>
    </w:tbl>
    <w:p>
      <w:pPr>
        <w:numPr>
          <w:ilvl w:val="0"/>
          <w:numId w:val="0"/>
        </w:numPr>
        <w:autoSpaceDE/>
        <w:autoSpaceDN/>
        <w:spacing w:before="0" w:after="160" w:line="432" w:lineRule="auto"/>
        <w:ind w:right="0"/>
        <w:jc w:val="both"/>
        <w:rPr>
          <w:rFonts w:hint="eastAsia" w:ascii="黑体" w:hAnsi="黑体" w:eastAsia="黑体" w:cs="黑体"/>
          <w:color w:val="333333"/>
          <w:position w:val="0"/>
          <w:sz w:val="32"/>
          <w:szCs w:val="32"/>
        </w:rPr>
      </w:pPr>
    </w:p>
    <w:p>
      <w:pPr>
        <w:numPr>
          <w:ilvl w:val="0"/>
          <w:numId w:val="0"/>
        </w:numPr>
        <w:autoSpaceDE/>
        <w:autoSpaceDN/>
        <w:spacing w:before="0" w:after="160" w:line="432" w:lineRule="auto"/>
        <w:ind w:right="0" w:firstLine="480"/>
        <w:jc w:val="both"/>
        <w:rPr>
          <w:rFonts w:hint="eastAsia" w:ascii="黑体" w:hAnsi="黑体" w:eastAsia="黑体" w:cs="黑体"/>
          <w:color w:val="333333"/>
          <w:position w:val="0"/>
          <w:sz w:val="32"/>
          <w:szCs w:val="32"/>
        </w:rPr>
      </w:pPr>
      <w:r>
        <w:rPr>
          <w:rFonts w:hint="eastAsia" w:ascii="黑体" w:hAnsi="黑体" w:eastAsia="黑体" w:cs="黑体"/>
          <w:color w:val="333333"/>
          <w:position w:val="0"/>
          <w:sz w:val="32"/>
          <w:szCs w:val="32"/>
        </w:rPr>
        <w:t>四、政府信息公开行政复议、行政诉讼情况</w:t>
      </w:r>
    </w:p>
    <w:tbl>
      <w:tblPr>
        <w:tblStyle w:val="24"/>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结果维持</w:t>
            </w:r>
          </w:p>
        </w:tc>
        <w:tc>
          <w:tcPr>
            <w:tcW w:w="604" w:type="dxa"/>
            <w:vMerge w:val="restart"/>
            <w:tcBorders>
              <w:top w:val="nil"/>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tc>
        <w:tc>
          <w:tcPr>
            <w:tcW w:w="604" w:type="dxa"/>
            <w:vMerge w:val="continue"/>
            <w:tcBorders>
              <w:top w:val="nil"/>
              <w:left w:val="nil"/>
              <w:bottom w:val="single" w:color="auto" w:sz="4" w:space="0"/>
              <w:right w:val="single" w:color="auto" w:sz="4" w:space="0"/>
            </w:tcBorders>
            <w:vAlign w:val="center"/>
          </w:tcPr>
          <w:p/>
        </w:tc>
        <w:tc>
          <w:tcPr>
            <w:tcW w:w="604" w:type="dxa"/>
            <w:vMerge w:val="continue"/>
            <w:tcBorders>
              <w:top w:val="single" w:color="auto" w:sz="4" w:space="0"/>
              <w:left w:val="nil"/>
              <w:bottom w:val="single" w:color="auto" w:sz="4" w:space="0"/>
              <w:right w:val="single" w:color="auto" w:sz="4" w:space="0"/>
            </w:tcBorders>
            <w:vAlign w:val="center"/>
          </w:tcPr>
          <w:p/>
        </w:tc>
        <w:tc>
          <w:tcPr>
            <w:tcW w:w="604" w:type="dxa"/>
            <w:vMerge w:val="continue"/>
            <w:tcBorders>
              <w:top w:val="single" w:color="auto" w:sz="4" w:space="0"/>
              <w:left w:val="nil"/>
              <w:bottom w:val="single" w:color="auto" w:sz="4" w:space="0"/>
              <w:right w:val="single" w:color="auto" w:sz="4" w:space="0"/>
            </w:tcBorders>
            <w:vAlign w:val="center"/>
          </w:tcPr>
          <w:p/>
        </w:tc>
        <w:tc>
          <w:tcPr>
            <w:tcW w:w="658" w:type="dxa"/>
            <w:vMerge w:val="continue"/>
            <w:tcBorders>
              <w:top w:val="single" w:color="auto" w:sz="4" w:space="0"/>
              <w:left w:val="nil"/>
              <w:bottom w:val="single" w:color="auto" w:sz="4" w:space="0"/>
              <w:right w:val="single" w:color="auto" w:sz="4" w:space="0"/>
            </w:tcBorders>
            <w:vAlign w:val="center"/>
          </w:tcPr>
          <w:p/>
        </w:tc>
        <w:tc>
          <w:tcPr>
            <w:tcW w:w="55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4" w:type="dxa"/>
            <w:tcBorders>
              <w:top w:val="single" w:color="auto" w:sz="4" w:space="0"/>
              <w:left w:val="single" w:color="auto" w:sz="4" w:space="0"/>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604"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0 </w:t>
            </w:r>
          </w:p>
        </w:tc>
        <w:tc>
          <w:tcPr>
            <w:tcW w:w="604"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0 </w:t>
            </w:r>
          </w:p>
        </w:tc>
        <w:tc>
          <w:tcPr>
            <w:tcW w:w="604"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0 </w:t>
            </w:r>
          </w:p>
        </w:tc>
        <w:tc>
          <w:tcPr>
            <w:tcW w:w="658"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0"/>
                <w:szCs w:val="20"/>
              </w:rPr>
            </w:pPr>
            <w:r>
              <w:rPr>
                <w:rFonts w:hint="default" w:ascii="Times New Roman" w:hAnsi="Times New Roman" w:eastAsia="Times New Roman"/>
                <w:color w:val="333333"/>
                <w:position w:val="0"/>
                <w:sz w:val="20"/>
                <w:szCs w:val="20"/>
              </w:rPr>
              <w:t>0 </w:t>
            </w:r>
          </w:p>
        </w:tc>
        <w:tc>
          <w:tcPr>
            <w:tcW w:w="550"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0"/>
                <w:szCs w:val="20"/>
              </w:rPr>
            </w:pPr>
            <w:r>
              <w:rPr>
                <w:rFonts w:hint="default" w:ascii="Times New Roman" w:hAnsi="Times New Roman" w:eastAsia="Times New Roman"/>
                <w:color w:val="333333"/>
                <w:position w:val="0"/>
                <w:sz w:val="20"/>
                <w:szCs w:val="20"/>
              </w:rPr>
              <w:t> 1</w:t>
            </w:r>
          </w:p>
        </w:tc>
        <w:tc>
          <w:tcPr>
            <w:tcW w:w="60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0"/>
                <w:szCs w:val="20"/>
              </w:rPr>
            </w:pPr>
            <w:r>
              <w:rPr>
                <w:rFonts w:hint="default" w:ascii="Times New Roman" w:hAnsi="Times New Roman" w:eastAsia="Times New Roman"/>
                <w:color w:val="333333"/>
                <w:position w:val="0"/>
                <w:sz w:val="20"/>
                <w:szCs w:val="20"/>
              </w:rPr>
              <w:t>0 </w:t>
            </w:r>
          </w:p>
        </w:tc>
        <w:tc>
          <w:tcPr>
            <w:tcW w:w="60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0"/>
                <w:szCs w:val="20"/>
              </w:rPr>
            </w:pPr>
            <w:r>
              <w:rPr>
                <w:rFonts w:hint="default" w:ascii="Times New Roman" w:hAnsi="Times New Roman" w:eastAsia="Times New Roman"/>
                <w:color w:val="333333"/>
                <w:position w:val="0"/>
                <w:sz w:val="20"/>
                <w:szCs w:val="20"/>
              </w:rPr>
              <w:t>0 </w:t>
            </w:r>
          </w:p>
        </w:tc>
        <w:tc>
          <w:tcPr>
            <w:tcW w:w="60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0"/>
                <w:szCs w:val="20"/>
              </w:rPr>
            </w:pPr>
            <w:r>
              <w:rPr>
                <w:rFonts w:hint="default" w:ascii="Times New Roman" w:hAnsi="Times New Roman" w:eastAsia="Times New Roman"/>
                <w:color w:val="333333"/>
                <w:position w:val="0"/>
                <w:sz w:val="20"/>
                <w:szCs w:val="20"/>
              </w:rPr>
              <w:t> 0</w:t>
            </w:r>
          </w:p>
        </w:tc>
        <w:tc>
          <w:tcPr>
            <w:tcW w:w="60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0"/>
                <w:szCs w:val="20"/>
              </w:rPr>
            </w:pPr>
            <w:r>
              <w:rPr>
                <w:rFonts w:hint="default" w:ascii="Times New Roman" w:hAnsi="Times New Roman" w:eastAsia="Times New Roman"/>
                <w:color w:val="333333"/>
                <w:position w:val="0"/>
                <w:sz w:val="20"/>
                <w:szCs w:val="20"/>
              </w:rPr>
              <w:t> 1</w:t>
            </w:r>
          </w:p>
        </w:tc>
        <w:tc>
          <w:tcPr>
            <w:tcW w:w="60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0"/>
                <w:szCs w:val="20"/>
              </w:rPr>
            </w:pPr>
            <w:r>
              <w:rPr>
                <w:rFonts w:hint="default" w:ascii="Times New Roman" w:hAnsi="Times New Roman" w:eastAsia="Times New Roman"/>
                <w:color w:val="333333"/>
                <w:position w:val="0"/>
                <w:sz w:val="20"/>
                <w:szCs w:val="20"/>
              </w:rPr>
              <w:t> 0</w:t>
            </w:r>
          </w:p>
        </w:tc>
        <w:tc>
          <w:tcPr>
            <w:tcW w:w="60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0"/>
                <w:szCs w:val="20"/>
              </w:rPr>
            </w:pPr>
            <w:r>
              <w:rPr>
                <w:rFonts w:hint="default" w:ascii="Times New Roman" w:hAnsi="Times New Roman" w:eastAsia="Times New Roman"/>
                <w:color w:val="333333"/>
                <w:position w:val="0"/>
                <w:sz w:val="20"/>
                <w:szCs w:val="20"/>
              </w:rPr>
              <w:t>0 </w:t>
            </w:r>
          </w:p>
        </w:tc>
        <w:tc>
          <w:tcPr>
            <w:tcW w:w="605"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000000"/>
                <w:position w:val="0"/>
                <w:sz w:val="20"/>
                <w:szCs w:val="20"/>
              </w:rPr>
              <w:t>0 </w:t>
            </w:r>
          </w:p>
        </w:tc>
        <w:tc>
          <w:tcPr>
            <w:tcW w:w="606"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0"/>
                <w:szCs w:val="20"/>
              </w:rPr>
              <w:t> 0</w:t>
            </w:r>
          </w:p>
        </w:tc>
        <w:tc>
          <w:tcPr>
            <w:tcW w:w="606" w:type="dxa"/>
            <w:tcBorders>
              <w:top w:val="single" w:color="auto" w:sz="4" w:space="0"/>
              <w:left w:val="nil"/>
              <w:bottom w:val="single" w:color="auto" w:sz="4" w:space="0"/>
              <w:right w:val="single" w:color="auto" w:sz="4" w:space="0"/>
            </w:tcBorders>
            <w:vAlign w:val="center"/>
          </w:tcPr>
          <w:p>
            <w:pPr>
              <w:numPr>
                <w:ilvl w:val="0"/>
                <w:numId w:val="0"/>
              </w:numPr>
              <w:autoSpaceDE/>
              <w:autoSpaceDN/>
              <w:spacing w:before="280" w:beforeAutospacing="1" w:after="180" w:line="480" w:lineRule="auto"/>
              <w:ind w:right="0" w:firstLine="0"/>
              <w:jc w:val="center"/>
              <w:rPr>
                <w:rFonts w:hint="default" w:ascii="Times New Roman" w:hAnsi="Times New Roman" w:eastAsia="Times New Roman"/>
                <w:color w:val="333333"/>
                <w:position w:val="0"/>
                <w:sz w:val="21"/>
                <w:szCs w:val="21"/>
              </w:rPr>
            </w:pPr>
            <w:r>
              <w:rPr>
                <w:rFonts w:hint="default" w:ascii="Times New Roman" w:hAnsi="Times New Roman" w:eastAsia="Times New Roman"/>
                <w:color w:val="333333"/>
                <w:position w:val="0"/>
                <w:sz w:val="21"/>
                <w:szCs w:val="21"/>
              </w:rPr>
              <w:t>0</w:t>
            </w:r>
          </w:p>
        </w:tc>
      </w:tr>
    </w:tbl>
    <w:p>
      <w:pPr>
        <w:numPr>
          <w:ilvl w:val="0"/>
          <w:numId w:val="0"/>
        </w:numPr>
        <w:autoSpaceDE/>
        <w:autoSpaceDN/>
        <w:spacing w:before="0" w:after="160" w:line="432" w:lineRule="auto"/>
        <w:ind w:right="0" w:firstLine="0"/>
        <w:jc w:val="both"/>
        <w:rPr>
          <w:rFonts w:hint="default" w:ascii="Times New Roman" w:hAnsi="Times New Roman" w:eastAsia="Times New Roman"/>
          <w:color w:val="333333"/>
          <w:position w:val="0"/>
          <w:sz w:val="32"/>
          <w:szCs w:val="32"/>
        </w:rPr>
      </w:pPr>
    </w:p>
    <w:p>
      <w:pPr>
        <w:numPr>
          <w:ilvl w:val="0"/>
          <w:numId w:val="0"/>
        </w:numPr>
        <w:autoSpaceDE/>
        <w:autoSpaceDN/>
        <w:spacing w:before="0" w:after="160" w:line="432" w:lineRule="auto"/>
        <w:ind w:right="0" w:firstLine="480"/>
        <w:jc w:val="both"/>
        <w:rPr>
          <w:rFonts w:hint="eastAsia" w:ascii="黑体" w:hAnsi="黑体" w:eastAsia="黑体" w:cs="黑体"/>
          <w:color w:val="333333"/>
          <w:position w:val="0"/>
          <w:sz w:val="32"/>
          <w:szCs w:val="32"/>
        </w:rPr>
      </w:pPr>
      <w:r>
        <w:rPr>
          <w:rFonts w:hint="eastAsia" w:ascii="黑体" w:hAnsi="黑体" w:eastAsia="黑体" w:cs="黑体"/>
          <w:color w:val="333333"/>
          <w:position w:val="0"/>
          <w:sz w:val="32"/>
          <w:szCs w:val="32"/>
        </w:rPr>
        <w:t>五、存在的主要问题及改进情况</w:t>
      </w:r>
    </w:p>
    <w:p>
      <w:pPr>
        <w:numPr>
          <w:ilvl w:val="0"/>
          <w:numId w:val="0"/>
        </w:numPr>
        <w:shd w:val="clear" w:color="000000" w:fill="FFFFFF"/>
        <w:autoSpaceDE/>
        <w:autoSpaceDN/>
        <w:spacing w:before="0" w:after="75" w:line="480" w:lineRule="atLeast"/>
        <w:ind w:right="0" w:firstLine="640"/>
        <w:jc w:val="left"/>
        <w:rPr>
          <w:rFonts w:hint="eastAsia" w:ascii="仿宋" w:hAnsi="仿宋" w:eastAsia="仿宋" w:cs="仿宋"/>
          <w:color w:val="auto"/>
          <w:position w:val="0"/>
          <w:sz w:val="32"/>
          <w:szCs w:val="32"/>
        </w:rPr>
      </w:pPr>
      <w:r>
        <w:rPr>
          <w:rFonts w:hint="eastAsia" w:ascii="仿宋" w:hAnsi="仿宋" w:eastAsia="仿宋" w:cs="仿宋"/>
          <w:color w:val="auto"/>
          <w:position w:val="0"/>
          <w:sz w:val="32"/>
          <w:szCs w:val="32"/>
        </w:rPr>
        <w:t>存在的主要问题：政府信息公开落实力度不够，与群众切身利益、方便群众办事、群众关心关注的信息公开不及时、不全面，公开方式单一化、陈旧化，与真正畅通联系群众“最后一公里”还有较大距离。</w:t>
      </w:r>
    </w:p>
    <w:p>
      <w:pPr>
        <w:keepNext w:val="0"/>
        <w:keepLines w:val="0"/>
        <w:pageBreakBefore w:val="0"/>
        <w:widowControl/>
        <w:numPr>
          <w:ilvl w:val="0"/>
          <w:numId w:val="0"/>
        </w:numPr>
        <w:shd w:val="clear" w:color="000000" w:fill="FFFFFF"/>
        <w:kinsoku/>
        <w:wordWrap/>
        <w:overflowPunct/>
        <w:topLinePunct w:val="0"/>
        <w:autoSpaceDE/>
        <w:autoSpaceDN/>
        <w:bidi w:val="0"/>
        <w:adjustRightInd/>
        <w:snapToGrid/>
        <w:spacing w:line="480" w:lineRule="atLeast"/>
        <w:ind w:right="0" w:firstLine="480"/>
        <w:jc w:val="left"/>
        <w:textAlignment w:val="auto"/>
        <w:rPr>
          <w:rFonts w:hint="eastAsia" w:ascii="仿宋" w:hAnsi="仿宋" w:eastAsia="仿宋" w:cs="仿宋"/>
          <w:color w:val="auto"/>
          <w:position w:val="0"/>
          <w:sz w:val="32"/>
          <w:szCs w:val="32"/>
        </w:rPr>
      </w:pPr>
      <w:r>
        <w:rPr>
          <w:rFonts w:hint="eastAsia" w:ascii="仿宋" w:hAnsi="仿宋" w:eastAsia="仿宋" w:cs="仿宋"/>
          <w:color w:val="auto"/>
          <w:position w:val="0"/>
          <w:sz w:val="32"/>
          <w:szCs w:val="32"/>
        </w:rPr>
        <w:t>改进情况：加强信息公开制度建设，充实人员力量，保障必要的经费、设备等工作条件。加强业务培训，切实提高人员队伍的综合素质和业务能力。完善政府信息公开的内容，公开方式，保证公开信息的及时、准确和全面。</w:t>
      </w:r>
    </w:p>
    <w:p>
      <w:pPr>
        <w:keepNext w:val="0"/>
        <w:keepLines w:val="0"/>
        <w:pageBreakBefore w:val="0"/>
        <w:widowControl/>
        <w:numPr>
          <w:ilvl w:val="0"/>
          <w:numId w:val="0"/>
        </w:numPr>
        <w:kinsoku/>
        <w:wordWrap/>
        <w:overflowPunct/>
        <w:topLinePunct w:val="0"/>
        <w:autoSpaceDE/>
        <w:autoSpaceDN/>
        <w:bidi w:val="0"/>
        <w:adjustRightInd/>
        <w:snapToGrid/>
        <w:spacing w:line="432" w:lineRule="auto"/>
        <w:ind w:right="0" w:firstLine="480"/>
        <w:jc w:val="both"/>
        <w:textAlignment w:val="auto"/>
        <w:rPr>
          <w:rFonts w:hint="default" w:ascii="黑体" w:hAnsi="黑体" w:eastAsia="黑体" w:cs="黑体"/>
          <w:color w:val="333333"/>
          <w:position w:val="0"/>
          <w:sz w:val="32"/>
          <w:szCs w:val="32"/>
        </w:rPr>
      </w:pPr>
      <w:r>
        <w:rPr>
          <w:rFonts w:hint="default" w:ascii="黑体" w:hAnsi="黑体" w:eastAsia="黑体" w:cs="黑体"/>
          <w:color w:val="333333"/>
          <w:position w:val="0"/>
          <w:sz w:val="32"/>
          <w:szCs w:val="32"/>
        </w:rPr>
        <w:t>六、其他需要报告的事项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firstLine="640"/>
        <w:jc w:val="both"/>
        <w:textAlignment w:val="auto"/>
        <w:rPr>
          <w:rFonts w:hint="eastAsia" w:ascii="仿宋" w:hAnsi="仿宋" w:eastAsia="仿宋" w:cs="仿宋"/>
          <w:color w:val="auto"/>
          <w:position w:val="0"/>
          <w:sz w:val="32"/>
          <w:szCs w:val="32"/>
        </w:rPr>
      </w:pPr>
      <w:r>
        <w:rPr>
          <w:rFonts w:hint="eastAsia" w:ascii="仿宋" w:hAnsi="仿宋" w:eastAsia="仿宋" w:cs="仿宋"/>
          <w:color w:val="auto"/>
          <w:position w:val="0"/>
          <w:sz w:val="32"/>
          <w:szCs w:val="32"/>
        </w:rPr>
        <w:t>(一)重点领域信息公开情况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0" w:right="0" w:firstLine="0"/>
        <w:jc w:val="both"/>
        <w:textAlignment w:val="auto"/>
        <w:rPr>
          <w:rFonts w:hint="eastAsia" w:ascii="仿宋" w:hAnsi="仿宋" w:eastAsia="仿宋" w:cs="仿宋"/>
          <w:color w:val="auto"/>
          <w:position w:val="0"/>
          <w:sz w:val="32"/>
          <w:szCs w:val="32"/>
        </w:rPr>
      </w:pPr>
      <w:r>
        <w:rPr>
          <w:rFonts w:hint="eastAsia" w:ascii="仿宋" w:hAnsi="仿宋" w:eastAsia="仿宋" w:cs="仿宋"/>
          <w:color w:val="auto"/>
          <w:position w:val="0"/>
          <w:sz w:val="32"/>
          <w:szCs w:val="32"/>
        </w:rPr>
        <w:t>按照市政务公开办统一要求，编制完成义务教育领域基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firstLine="0"/>
        <w:jc w:val="both"/>
        <w:textAlignment w:val="auto"/>
        <w:rPr>
          <w:rFonts w:hint="eastAsia" w:ascii="仿宋" w:hAnsi="仿宋" w:eastAsia="仿宋" w:cs="仿宋"/>
          <w:color w:val="auto"/>
          <w:position w:val="0"/>
          <w:sz w:val="32"/>
          <w:szCs w:val="32"/>
        </w:rPr>
      </w:pPr>
      <w:r>
        <w:rPr>
          <w:rFonts w:hint="eastAsia" w:ascii="仿宋" w:hAnsi="仿宋" w:eastAsia="仿宋" w:cs="仿宋"/>
          <w:color w:val="auto"/>
          <w:position w:val="0"/>
          <w:sz w:val="32"/>
          <w:szCs w:val="32"/>
        </w:rPr>
        <w:t>层政务公开事项目录，围绕疫情防控、重点民生和社会公益事业领域设置了专栏，集中公开了疫情防控等相关信息。坚持以人民为中心的发展思想，以切实保障基本民生、推动解决重点民生问题为着力点，重点公开义务教育、学前教育、特殊教育、职业教育、高等教育等方面信息。</w:t>
      </w:r>
    </w:p>
    <w:p>
      <w:pPr>
        <w:keepNext w:val="0"/>
        <w:keepLines w:val="0"/>
        <w:pageBreakBefore w:val="0"/>
        <w:widowControl/>
        <w:numPr>
          <w:ilvl w:val="0"/>
          <w:numId w:val="0"/>
        </w:numPr>
        <w:kinsoku/>
        <w:wordWrap/>
        <w:overflowPunct/>
        <w:topLinePunct w:val="0"/>
        <w:autoSpaceDE/>
        <w:autoSpaceDN w:val="0"/>
        <w:bidi w:val="0"/>
        <w:adjustRightInd/>
        <w:snapToGrid/>
        <w:spacing w:before="0" w:line="560" w:lineRule="exact"/>
        <w:ind w:right="0" w:firstLine="640"/>
        <w:jc w:val="both"/>
        <w:textAlignment w:val="auto"/>
        <w:rPr>
          <w:rFonts w:hint="eastAsia" w:ascii="仿宋" w:hAnsi="仿宋" w:eastAsia="仿宋" w:cs="仿宋"/>
          <w:color w:val="333333"/>
          <w:position w:val="0"/>
          <w:sz w:val="32"/>
          <w:szCs w:val="32"/>
        </w:rPr>
      </w:pPr>
      <w:r>
        <w:rPr>
          <w:rFonts w:hint="eastAsia" w:ascii="仿宋" w:hAnsi="仿宋" w:eastAsia="仿宋" w:cs="仿宋"/>
          <w:color w:val="333333"/>
          <w:position w:val="0"/>
          <w:sz w:val="32"/>
          <w:szCs w:val="32"/>
        </w:rPr>
        <w:t>（二）建议提案办理结果公开情况</w:t>
      </w:r>
    </w:p>
    <w:p>
      <w:pPr>
        <w:keepNext w:val="0"/>
        <w:keepLines w:val="0"/>
        <w:pageBreakBefore w:val="0"/>
        <w:widowControl/>
        <w:numPr>
          <w:ilvl w:val="0"/>
          <w:numId w:val="0"/>
        </w:numPr>
        <w:kinsoku/>
        <w:wordWrap/>
        <w:overflowPunct/>
        <w:topLinePunct w:val="0"/>
        <w:autoSpaceDE/>
        <w:autoSpaceDN w:val="0"/>
        <w:bidi w:val="0"/>
        <w:adjustRightInd/>
        <w:snapToGrid/>
        <w:spacing w:before="0" w:line="560" w:lineRule="exact"/>
        <w:ind w:right="0" w:firstLine="640"/>
        <w:jc w:val="both"/>
        <w:textAlignment w:val="auto"/>
        <w:rPr>
          <w:rFonts w:hint="eastAsia" w:ascii="仿宋" w:hAnsi="仿宋" w:eastAsia="仿宋" w:cs="仿宋"/>
          <w:color w:val="auto"/>
          <w:position w:val="0"/>
          <w:sz w:val="32"/>
          <w:szCs w:val="32"/>
        </w:rPr>
      </w:pPr>
      <w:r>
        <w:rPr>
          <w:rFonts w:hint="eastAsia" w:ascii="仿宋" w:hAnsi="仿宋" w:eastAsia="仿宋" w:cs="仿宋"/>
          <w:color w:val="auto"/>
          <w:position w:val="0"/>
          <w:sz w:val="32"/>
          <w:szCs w:val="32"/>
        </w:rPr>
        <w:t>2020年，市教育局共承办人大建议19件、政协提案24件，4月初已经全部办结,办结率、走访率、满意率均为100%，解决率达到100%。抚顺教育网对提案、议案办理工作动态和全部问题答复进行了公开。</w:t>
      </w:r>
    </w:p>
    <w:p>
      <w:pPr>
        <w:numPr>
          <w:ilvl w:val="0"/>
          <w:numId w:val="0"/>
        </w:numPr>
        <w:autoSpaceDE/>
        <w:autoSpaceDN w:val="0"/>
        <w:spacing w:before="0" w:after="160" w:line="560" w:lineRule="exact"/>
        <w:ind w:right="0" w:firstLine="640"/>
        <w:jc w:val="both"/>
        <w:rPr>
          <w:rFonts w:hint="eastAsia" w:ascii="仿宋" w:hAnsi="仿宋" w:eastAsia="仿宋" w:cs="仿宋"/>
          <w:color w:val="auto"/>
          <w:position w:val="0"/>
          <w:sz w:val="32"/>
          <w:szCs w:val="32"/>
        </w:rPr>
      </w:pPr>
      <w:r>
        <w:rPr>
          <w:rFonts w:hint="eastAsia" w:ascii="仿宋" w:hAnsi="仿宋" w:eastAsia="仿宋" w:cs="仿宋"/>
          <w:color w:val="auto"/>
          <w:position w:val="0"/>
          <w:sz w:val="32"/>
          <w:szCs w:val="32"/>
        </w:rPr>
        <w:t>（三）5.15政务公开日活动情况</w:t>
      </w:r>
    </w:p>
    <w:p>
      <w:pPr>
        <w:pageBreakBefore w:val="0"/>
        <w:numPr>
          <w:ilvl w:val="0"/>
          <w:numId w:val="0"/>
        </w:numPr>
        <w:autoSpaceDE/>
        <w:autoSpaceDN/>
        <w:bidi w:val="0"/>
        <w:snapToGrid/>
        <w:spacing w:before="0" w:after="0" w:line="240" w:lineRule="auto"/>
        <w:ind w:right="0" w:firstLine="640"/>
        <w:jc w:val="both"/>
        <w:rPr>
          <w:rFonts w:hint="eastAsia" w:ascii="仿宋" w:hAnsi="仿宋" w:eastAsia="仿宋" w:cs="仿宋"/>
          <w:color w:val="auto"/>
          <w:position w:val="0"/>
          <w:sz w:val="32"/>
          <w:szCs w:val="32"/>
        </w:rPr>
      </w:pPr>
      <w:r>
        <w:rPr>
          <w:rFonts w:hint="eastAsia" w:ascii="仿宋" w:hAnsi="仿宋" w:eastAsia="仿宋" w:cs="仿宋"/>
          <w:color w:val="auto"/>
          <w:position w:val="0"/>
          <w:sz w:val="32"/>
          <w:szCs w:val="32"/>
        </w:rPr>
        <w:t>受疫情的影响，今年的5.15政务公开日活动以线上活动为主，活动当天，市教育局纪立东副局长带领局机关相关科室负责人和教育服务发展中心的专家团队到市8890热线话务大厅接听群众来电，解答群众问题。同时，在网站投放教育系统防疫宣传片，公开学校复课复学相关政策及情况信息，共计15条；配合全国“两会”宣传，发布信息10条；建立“服务事项高效办”活动专栏，公开政务服务改革成效相关信息7条。线下不断提高政务公开活动参与度。活动期间，市教育局要求直属单位积极参与到政务公开活动中，利用各学校显示屏滚动播放活动标语，积极向社会公众提供政务公开活动信息。</w:t>
      </w:r>
    </w:p>
    <w:p>
      <w:pPr>
        <w:numPr>
          <w:ilvl w:val="0"/>
          <w:numId w:val="0"/>
        </w:numPr>
        <w:autoSpaceDE/>
        <w:autoSpaceDN/>
        <w:spacing w:before="0" w:after="160" w:line="432" w:lineRule="auto"/>
        <w:ind w:right="0" w:firstLine="480"/>
        <w:jc w:val="both"/>
        <w:rPr>
          <w:rFonts w:hint="eastAsia" w:ascii="仿宋" w:hAnsi="仿宋" w:eastAsia="仿宋" w:cs="仿宋"/>
          <w:color w:val="333333"/>
          <w:position w:val="0"/>
          <w:sz w:val="32"/>
          <w:szCs w:val="32"/>
        </w:rPr>
      </w:pPr>
    </w:p>
    <w:sectPr>
      <w:footerReference r:id="rId3" w:type="default"/>
      <w:pgSz w:w="11906" w:h="16838"/>
      <w:pgMar w:top="1440" w:right="1800" w:bottom="1440" w:left="1800" w:header="851" w:footer="992" w:gutter="0"/>
      <w:pgNumType w:fmt="decima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F0502020204030204"/>
    <w:charset w:val="00"/>
    <w:family w:val="auto"/>
    <w:pitch w:val="default"/>
    <w:sig w:usb0="00000000" w:usb1="00000000" w:usb2="00000000" w:usb3="00000000" w:csb0="FFFFFFFF"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F0502020204030204"/>
    <w:charset w:val="00"/>
    <w:family w:val="auto"/>
    <w:pitch w:val="default"/>
    <w:sig w:usb0="00000000" w:usb1="00000000" w:usb2="00000000" w:usb3="00000000" w:csb0="FFFFFFFF" w:csb1="00000000"/>
  </w:font>
  <w:font w:name="Arial Unicode MS">
    <w:panose1 w:val="020B0604020202020204"/>
    <w:charset w:val="86"/>
    <w:family w:val="auto"/>
    <w:pitch w:val="default"/>
    <w:sig w:usb0="FFFFFFFF" w:usb1="E9FFFFFF" w:usb2="0000003F" w:usb3="00000000" w:csb0="603F01FF" w:csb1="FFFF0000"/>
  </w:font>
  <w:font w:name="方正黑体简体">
    <w:panose1 w:val="02010601030101010101"/>
    <w:charset w:val="86"/>
    <w:family w:val="auto"/>
    <w:pitch w:val="default"/>
    <w:sig w:usb0="00000001" w:usb1="080E0000" w:usb2="00000000" w:usb3="00000000" w:csb0="00040000" w:csb1="00000000"/>
  </w:font>
  <w:font w:name="方正彩云繁体">
    <w:panose1 w:val="02010601030101010101"/>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超粗黑繁体">
    <w:panose1 w:val="02010601030101010101"/>
    <w:charset w:val="86"/>
    <w:family w:val="auto"/>
    <w:pitch w:val="default"/>
    <w:sig w:usb0="00000001" w:usb1="080E0000" w:usb2="00000000" w:usb3="00000000" w:csb0="00040000" w:csb1="00000000"/>
  </w:font>
  <w:font w:name="方正粗倩繁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超粗黑简体">
    <w:panose1 w:val="02010601030101010101"/>
    <w:charset w:val="86"/>
    <w:family w:val="auto"/>
    <w:pitch w:val="default"/>
    <w:sig w:usb0="00000001" w:usb1="080E0000" w:usb2="00000000" w:usb3="00000000" w:csb0="00040000" w:csb1="00000000"/>
  </w:font>
  <w:font w:name="Shonar Bangla">
    <w:panose1 w:val="020B0502040204020203"/>
    <w:charset w:val="00"/>
    <w:family w:val="auto"/>
    <w:pitch w:val="default"/>
    <w:sig w:usb0="00010003" w:usb1="00000000" w:usb2="00000000" w:usb3="00000000" w:csb0="00000001" w:csb1="00000000"/>
  </w:font>
  <w:font w:name="Plantagenet Cherokee">
    <w:panose1 w:val="02020602070100000000"/>
    <w:charset w:val="00"/>
    <w:family w:val="auto"/>
    <w:pitch w:val="default"/>
    <w:sig w:usb0="00000003" w:usb1="00000000" w:usb2="00001000" w:usb3="00000000" w:csb0="00000001" w:csb1="00000000"/>
  </w:font>
  <w:font w:name="Segoe Print">
    <w:panose1 w:val="02000600000000000000"/>
    <w:charset w:val="00"/>
    <w:family w:val="auto"/>
    <w:pitch w:val="default"/>
    <w:sig w:usb0="0000028F" w:usb1="00000000" w:usb2="00000000" w:usb3="00000000" w:csb0="2000009F" w:csb1="47010000"/>
  </w:font>
  <w:font w:name="Sakkal Majalla">
    <w:panose1 w:val="02000000000000000000"/>
    <w:charset w:val="00"/>
    <w:family w:val="auto"/>
    <w:pitch w:val="default"/>
    <w:sig w:usb0="A000207F" w:usb1="C000204B" w:usb2="00000008" w:usb3="00000000" w:csb0="200000D3" w:csb1="00000000"/>
  </w:font>
  <w:font w:name="Segoe UI">
    <w:panose1 w:val="020B0502040204020203"/>
    <w:charset w:val="00"/>
    <w:family w:val="auto"/>
    <w:pitch w:val="default"/>
    <w:sig w:usb0="E10022FF" w:usb1="C000E47F" w:usb2="00000029" w:usb3="00000000" w:csb0="200001DF" w:csb1="20000000"/>
  </w:font>
  <w:font w:name="MingLiU">
    <w:panose1 w:val="02020509000000000000"/>
    <w:charset w:val="88"/>
    <w:family w:val="auto"/>
    <w:pitch w:val="default"/>
    <w:sig w:usb0="A00002FF" w:usb1="28CFFCFA" w:usb2="00000016" w:usb3="00000000" w:csb0="00100001"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numPr>
        <w:ilvl w:val="0"/>
        <w:numId w:val="0"/>
      </w:numPr>
      <w:autoSpaceDE/>
      <w:autoSpaceDN/>
      <w:snapToGrid w:val="0"/>
      <w:spacing w:before="0" w:after="160" w:line="240" w:lineRule="auto"/>
      <w:ind w:right="0" w:firstLine="0"/>
      <w:jc w:val="center"/>
      <w:rPr>
        <w:rFonts w:hint="default" w:ascii="Times New Roman" w:hAnsi="Times New Roman" w:eastAsia="Times New Roman"/>
        <w:color w:val="auto"/>
        <w:position w:val="0"/>
        <w:sz w:val="24"/>
        <w:szCs w:val="24"/>
      </w:rPr>
    </w:pPr>
    <w:r>
      <w:rPr>
        <w:rFonts w:hint="default" w:ascii="Times New Roman" w:hAnsi="Times New Roman" w:eastAsia="Times New Roman"/>
        <w:color w:val="auto"/>
        <w:position w:val="0"/>
        <w:sz w:val="24"/>
        <w:szCs w:val="24"/>
      </w:rPr>
      <w:t>-</w:t>
    </w:r>
    <w:r>
      <w:rPr>
        <w:rFonts w:hint="default" w:ascii="Times New Roman" w:hAnsi="Times New Roman" w:eastAsia="Times New Roman"/>
        <w:color w:val="auto"/>
        <w:position w:val="0"/>
        <w:sz w:val="24"/>
        <w:szCs w:val="24"/>
      </w:rPr>
      <w:fldChar w:fldCharType="begin"/>
    </w:r>
    <w:r>
      <w:instrText xml:space="preserve">PAGE  \* MERGEFORMAT</w:instrText>
    </w:r>
    <w:r>
      <w:fldChar w:fldCharType="separate"/>
    </w:r>
    <w:r>
      <w:rPr>
        <w:rFonts w:hint="default" w:ascii="Times New Roman" w:hAnsi="Times New Roman" w:eastAsia="Times New Roman"/>
        <w:color w:val="auto"/>
        <w:position w:val="0"/>
        <w:sz w:val="24"/>
        <w:szCs w:val="24"/>
      </w:rPr>
      <w:t>3</w:t>
    </w:r>
    <w:r>
      <w:rPr>
        <w:rFonts w:hint="default" w:ascii="Times New Roman" w:hAnsi="Times New Roman" w:eastAsia="Times New Roman"/>
        <w:color w:val="auto"/>
        <w:position w:val="0"/>
        <w:sz w:val="24"/>
        <w:szCs w:val="24"/>
      </w:rPr>
      <w:fldChar w:fldCharType="end"/>
    </w:r>
    <w:r>
      <w:rPr>
        <w:rFonts w:hint="default" w:ascii="Times New Roman" w:hAnsi="Times New Roman" w:eastAsia="Times New Roman"/>
        <w:color w:val="auto"/>
        <w:position w:val="0"/>
        <w:sz w:val="24"/>
        <w:szCs w:val="24"/>
      </w:rPr>
      <w:t>-</w:t>
    </w:r>
  </w:p>
  <w:p>
    <w:pPr>
      <w:pStyle w:val="15"/>
      <w:numPr>
        <w:ilvl w:val="0"/>
        <w:numId w:val="0"/>
      </w:numPr>
      <w:autoSpaceDE/>
      <w:autoSpaceDN/>
      <w:snapToGrid w:val="0"/>
      <w:spacing w:before="0" w:after="160" w:line="240" w:lineRule="auto"/>
      <w:ind w:right="0" w:firstLine="0"/>
      <w:jc w:val="left"/>
      <w:rPr>
        <w:rFonts w:hint="default" w:ascii="等线" w:hAnsi="等线" w:eastAsia="等线"/>
        <w:color w:val="auto"/>
        <w:position w:val="0"/>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documentProtection w:enforcement="0"/>
  <w:defaultTabStop w:val="420"/>
  <w:displayHorizontalDrawingGridEvery w:val="0"/>
  <w:displayVerticalDrawingGridEvery w:val="2"/>
  <w:characterSpacingControl w:val="compressPunctuation"/>
  <w:compat>
    <w:balanceSingleByteDoubleByteWidth/>
    <w:ulTrailSpace/>
    <w:adjustLineHeightInTable/>
    <w:useFELayout/>
    <w:compatSetting w:name="compatibilityMode" w:uri="http://schemas.microsoft.com/office/word" w:val="12"/>
  </w:compat>
  <w:rsids>
    <w:rsidRoot w:val="00000000"/>
    <w:rsid w:val="0C356060"/>
    <w:rsid w:val="13E752E0"/>
    <w:rsid w:val="461E2DC8"/>
    <w:rsid w:val="4DB93C77"/>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153" w:semiHidden="0" w:name="header"/>
    <w:lsdException w:qFormat="1" w:uiPriority="152"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37"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ordWrap/>
      <w:autoSpaceDE/>
      <w:autoSpaceDN/>
      <w:jc w:val="both"/>
    </w:pPr>
    <w:rPr>
      <w:rFonts w:ascii="等线" w:hAnsi="等线" w:eastAsia="等线"/>
      <w:w w:val="100"/>
      <w:sz w:val="21"/>
      <w:szCs w:val="21"/>
      <w:shd w:val="clear"/>
    </w:rPr>
  </w:style>
  <w:style w:type="paragraph" w:styleId="2">
    <w:name w:val="heading 1"/>
    <w:next w:val="1"/>
    <w:qFormat/>
    <w:uiPriority w:val="7"/>
    <w:pPr>
      <w:jc w:val="both"/>
    </w:pPr>
    <w:rPr>
      <w:rFonts w:ascii="Times New Roman" w:hAnsi="Times New Roman" w:eastAsia="Times New Roman"/>
      <w:w w:val="100"/>
      <w:sz w:val="28"/>
      <w:szCs w:val="28"/>
      <w:shd w:val="clear"/>
    </w:rPr>
  </w:style>
  <w:style w:type="paragraph" w:styleId="3">
    <w:name w:val="heading 2"/>
    <w:next w:val="1"/>
    <w:qFormat/>
    <w:uiPriority w:val="8"/>
    <w:pPr>
      <w:jc w:val="both"/>
    </w:pPr>
    <w:rPr>
      <w:rFonts w:ascii="Times New Roman" w:hAnsi="Times New Roman" w:eastAsia="Times New Roman"/>
      <w:w w:val="100"/>
      <w:sz w:val="21"/>
      <w:szCs w:val="21"/>
      <w:shd w:val="clear"/>
    </w:rPr>
  </w:style>
  <w:style w:type="paragraph" w:styleId="4">
    <w:name w:val="heading 3"/>
    <w:next w:val="1"/>
    <w:qFormat/>
    <w:uiPriority w:val="9"/>
    <w:pPr>
      <w:ind w:left="1000" w:hanging="400"/>
      <w:jc w:val="both"/>
    </w:pPr>
    <w:rPr>
      <w:rFonts w:ascii="Times New Roman" w:hAnsi="Times New Roman" w:eastAsia="Times New Roman"/>
      <w:w w:val="100"/>
      <w:sz w:val="21"/>
      <w:szCs w:val="21"/>
      <w:shd w:val="clear"/>
    </w:rPr>
  </w:style>
  <w:style w:type="paragraph" w:styleId="5">
    <w:name w:val="heading 4"/>
    <w:next w:val="1"/>
    <w:qFormat/>
    <w:uiPriority w:val="10"/>
    <w:pPr>
      <w:ind w:left="1200" w:hanging="400"/>
      <w:jc w:val="both"/>
    </w:pPr>
    <w:rPr>
      <w:rFonts w:ascii="Times New Roman" w:hAnsi="Times New Roman" w:eastAsia="Times New Roman"/>
      <w:b/>
      <w:w w:val="100"/>
      <w:sz w:val="21"/>
      <w:szCs w:val="21"/>
      <w:shd w:val="clear"/>
    </w:rPr>
  </w:style>
  <w:style w:type="paragraph" w:styleId="6">
    <w:name w:val="heading 5"/>
    <w:next w:val="1"/>
    <w:qFormat/>
    <w:uiPriority w:val="11"/>
    <w:pPr>
      <w:ind w:left="1400" w:hanging="400"/>
      <w:jc w:val="both"/>
    </w:pPr>
    <w:rPr>
      <w:rFonts w:ascii="Times New Roman" w:hAnsi="Times New Roman" w:eastAsia="Times New Roman"/>
      <w:w w:val="100"/>
      <w:sz w:val="21"/>
      <w:szCs w:val="21"/>
      <w:shd w:val="clear"/>
    </w:rPr>
  </w:style>
  <w:style w:type="paragraph" w:styleId="7">
    <w:name w:val="heading 6"/>
    <w:next w:val="1"/>
    <w:qFormat/>
    <w:uiPriority w:val="12"/>
    <w:pPr>
      <w:ind w:left="1600" w:hanging="400"/>
      <w:jc w:val="both"/>
    </w:pPr>
    <w:rPr>
      <w:rFonts w:ascii="Times New Roman" w:hAnsi="Times New Roman" w:eastAsia="Times New Roman"/>
      <w:b/>
      <w:w w:val="100"/>
      <w:sz w:val="21"/>
      <w:szCs w:val="21"/>
      <w:shd w:val="clear"/>
    </w:rPr>
  </w:style>
  <w:style w:type="paragraph" w:styleId="8">
    <w:name w:val="heading 7"/>
    <w:next w:val="1"/>
    <w:qFormat/>
    <w:uiPriority w:val="13"/>
    <w:pPr>
      <w:ind w:left="1800" w:hanging="400"/>
      <w:jc w:val="both"/>
    </w:pPr>
    <w:rPr>
      <w:rFonts w:ascii="Times New Roman" w:hAnsi="Times New Roman" w:eastAsia="Times New Roman"/>
      <w:w w:val="100"/>
      <w:sz w:val="21"/>
      <w:szCs w:val="21"/>
      <w:shd w:val="clear"/>
    </w:rPr>
  </w:style>
  <w:style w:type="paragraph" w:styleId="9">
    <w:name w:val="heading 8"/>
    <w:next w:val="1"/>
    <w:qFormat/>
    <w:uiPriority w:val="14"/>
    <w:pPr>
      <w:ind w:left="2000" w:hanging="400"/>
      <w:jc w:val="both"/>
    </w:pPr>
    <w:rPr>
      <w:rFonts w:ascii="Times New Roman" w:hAnsi="Times New Roman" w:eastAsia="Times New Roman"/>
      <w:w w:val="100"/>
      <w:sz w:val="21"/>
      <w:szCs w:val="21"/>
      <w:shd w:val="clear"/>
    </w:rPr>
  </w:style>
  <w:style w:type="paragraph" w:styleId="10">
    <w:name w:val="heading 9"/>
    <w:next w:val="1"/>
    <w:qFormat/>
    <w:uiPriority w:val="15"/>
    <w:pPr>
      <w:ind w:left="2200" w:hanging="400"/>
      <w:jc w:val="both"/>
    </w:pPr>
    <w:rPr>
      <w:rFonts w:ascii="Times New Roman" w:hAnsi="Times New Roman" w:eastAsia="Times New Roman"/>
      <w:w w:val="100"/>
      <w:sz w:val="21"/>
      <w:szCs w:val="21"/>
      <w:shd w:val="clear"/>
    </w:rPr>
  </w:style>
  <w:style w:type="character" w:default="1" w:styleId="25">
    <w:name w:val="Default Paragraph Font"/>
    <w:semiHidden/>
    <w:unhideWhenUsed/>
    <w:uiPriority w:val="2"/>
  </w:style>
  <w:style w:type="table" w:default="1" w:styleId="24">
    <w:name w:val="Normal Table"/>
    <w:uiPriority w:val="37"/>
    <w:tblPr>
      <w:tblCellMar>
        <w:top w:w="0" w:type="dxa"/>
        <w:left w:w="108" w:type="dxa"/>
        <w:bottom w:w="0" w:type="dxa"/>
        <w:right w:w="108" w:type="dxa"/>
      </w:tblCellMar>
    </w:tblPr>
  </w:style>
  <w:style w:type="paragraph" w:styleId="11">
    <w:name w:val="toc 7"/>
    <w:next w:val="1"/>
    <w:unhideWhenUsed/>
    <w:qFormat/>
    <w:uiPriority w:val="34"/>
    <w:pPr>
      <w:ind w:left="2550" w:firstLine="0"/>
      <w:jc w:val="both"/>
    </w:pPr>
    <w:rPr>
      <w:rFonts w:ascii="Times New Roman" w:hAnsi="Times New Roman" w:eastAsia="Times New Roman"/>
      <w:w w:val="100"/>
      <w:sz w:val="21"/>
      <w:szCs w:val="21"/>
      <w:shd w:val="clear"/>
    </w:rPr>
  </w:style>
  <w:style w:type="paragraph" w:styleId="12">
    <w:name w:val="toc 5"/>
    <w:next w:val="1"/>
    <w:unhideWhenUsed/>
    <w:qFormat/>
    <w:uiPriority w:val="32"/>
    <w:pPr>
      <w:ind w:left="1700" w:firstLine="0"/>
      <w:jc w:val="both"/>
    </w:pPr>
    <w:rPr>
      <w:rFonts w:ascii="Times New Roman" w:hAnsi="Times New Roman" w:eastAsia="Times New Roman"/>
      <w:w w:val="100"/>
      <w:sz w:val="21"/>
      <w:szCs w:val="21"/>
      <w:shd w:val="clear"/>
    </w:rPr>
  </w:style>
  <w:style w:type="paragraph" w:styleId="13">
    <w:name w:val="toc 3"/>
    <w:next w:val="1"/>
    <w:unhideWhenUsed/>
    <w:qFormat/>
    <w:uiPriority w:val="30"/>
    <w:pPr>
      <w:ind w:left="850" w:firstLine="0"/>
      <w:jc w:val="both"/>
    </w:pPr>
    <w:rPr>
      <w:rFonts w:ascii="Times New Roman" w:hAnsi="Times New Roman" w:eastAsia="Times New Roman"/>
      <w:w w:val="100"/>
      <w:sz w:val="21"/>
      <w:szCs w:val="21"/>
      <w:shd w:val="clear"/>
    </w:rPr>
  </w:style>
  <w:style w:type="paragraph" w:styleId="14">
    <w:name w:val="toc 8"/>
    <w:next w:val="1"/>
    <w:unhideWhenUsed/>
    <w:qFormat/>
    <w:uiPriority w:val="35"/>
    <w:pPr>
      <w:ind w:left="2975" w:firstLine="0"/>
      <w:jc w:val="both"/>
    </w:pPr>
    <w:rPr>
      <w:rFonts w:ascii="Times New Roman" w:hAnsi="Times New Roman" w:eastAsia="Times New Roman"/>
      <w:w w:val="100"/>
      <w:sz w:val="21"/>
      <w:szCs w:val="21"/>
      <w:shd w:val="clear"/>
    </w:rPr>
  </w:style>
  <w:style w:type="paragraph" w:styleId="15">
    <w:name w:val="footer"/>
    <w:basedOn w:val="1"/>
    <w:link w:val="39"/>
    <w:unhideWhenUsed/>
    <w:qFormat/>
    <w:uiPriority w:val="152"/>
    <w:pPr>
      <w:widowControl/>
      <w:tabs>
        <w:tab w:val="center" w:pos="4153"/>
        <w:tab w:val="right" w:pos="8306"/>
      </w:tabs>
      <w:wordWrap/>
      <w:autoSpaceDE/>
      <w:autoSpaceDN/>
    </w:pPr>
    <w:rPr>
      <w:w w:val="100"/>
      <w:sz w:val="18"/>
      <w:szCs w:val="18"/>
      <w:shd w:val="clear"/>
    </w:rPr>
  </w:style>
  <w:style w:type="paragraph" w:styleId="16">
    <w:name w:val="header"/>
    <w:basedOn w:val="1"/>
    <w:link w:val="38"/>
    <w:unhideWhenUsed/>
    <w:qFormat/>
    <w:uiPriority w:val="153"/>
    <w:pPr>
      <w:widowControl/>
      <w:tabs>
        <w:tab w:val="center" w:pos="4153"/>
        <w:tab w:val="right" w:pos="8306"/>
      </w:tabs>
      <w:wordWrap/>
      <w:autoSpaceDE/>
      <w:autoSpaceDN/>
      <w:jc w:val="center"/>
    </w:pPr>
    <w:rPr>
      <w:w w:val="100"/>
      <w:sz w:val="18"/>
      <w:szCs w:val="18"/>
      <w:shd w:val="clear"/>
    </w:rPr>
  </w:style>
  <w:style w:type="paragraph" w:styleId="17">
    <w:name w:val="toc 1"/>
    <w:next w:val="1"/>
    <w:unhideWhenUsed/>
    <w:qFormat/>
    <w:uiPriority w:val="28"/>
    <w:pPr>
      <w:jc w:val="both"/>
    </w:pPr>
    <w:rPr>
      <w:rFonts w:ascii="Times New Roman" w:hAnsi="Times New Roman" w:eastAsia="Times New Roman"/>
      <w:w w:val="100"/>
      <w:sz w:val="21"/>
      <w:szCs w:val="21"/>
      <w:shd w:val="clear"/>
    </w:rPr>
  </w:style>
  <w:style w:type="paragraph" w:styleId="18">
    <w:name w:val="toc 4"/>
    <w:next w:val="1"/>
    <w:unhideWhenUsed/>
    <w:qFormat/>
    <w:uiPriority w:val="31"/>
    <w:pPr>
      <w:ind w:left="1275" w:firstLine="0"/>
      <w:jc w:val="both"/>
    </w:pPr>
    <w:rPr>
      <w:rFonts w:ascii="Times New Roman" w:hAnsi="Times New Roman" w:eastAsia="Times New Roman"/>
      <w:w w:val="100"/>
      <w:sz w:val="21"/>
      <w:szCs w:val="21"/>
      <w:shd w:val="clear"/>
    </w:rPr>
  </w:style>
  <w:style w:type="paragraph" w:styleId="19">
    <w:name w:val="Subtitle"/>
    <w:qFormat/>
    <w:uiPriority w:val="16"/>
    <w:pPr>
      <w:jc w:val="center"/>
    </w:pPr>
    <w:rPr>
      <w:rFonts w:ascii="Times New Roman" w:hAnsi="Times New Roman" w:eastAsia="Times New Roman"/>
      <w:w w:val="100"/>
      <w:sz w:val="24"/>
      <w:szCs w:val="24"/>
      <w:shd w:val="clear"/>
    </w:rPr>
  </w:style>
  <w:style w:type="paragraph" w:styleId="20">
    <w:name w:val="toc 6"/>
    <w:next w:val="1"/>
    <w:unhideWhenUsed/>
    <w:qFormat/>
    <w:uiPriority w:val="33"/>
    <w:pPr>
      <w:ind w:left="2125" w:firstLine="0"/>
      <w:jc w:val="both"/>
    </w:pPr>
    <w:rPr>
      <w:rFonts w:ascii="Times New Roman" w:hAnsi="Times New Roman" w:eastAsia="Times New Roman"/>
      <w:w w:val="100"/>
      <w:sz w:val="21"/>
      <w:szCs w:val="21"/>
      <w:shd w:val="clear"/>
    </w:rPr>
  </w:style>
  <w:style w:type="paragraph" w:styleId="21">
    <w:name w:val="toc 2"/>
    <w:next w:val="1"/>
    <w:unhideWhenUsed/>
    <w:qFormat/>
    <w:uiPriority w:val="29"/>
    <w:pPr>
      <w:ind w:left="425" w:firstLine="0"/>
      <w:jc w:val="both"/>
    </w:pPr>
    <w:rPr>
      <w:rFonts w:ascii="Times New Roman" w:hAnsi="Times New Roman" w:eastAsia="Times New Roman"/>
      <w:w w:val="100"/>
      <w:sz w:val="21"/>
      <w:szCs w:val="21"/>
      <w:shd w:val="clear"/>
    </w:rPr>
  </w:style>
  <w:style w:type="paragraph" w:styleId="22">
    <w:name w:val="toc 9"/>
    <w:next w:val="1"/>
    <w:unhideWhenUsed/>
    <w:qFormat/>
    <w:uiPriority w:val="36"/>
    <w:pPr>
      <w:ind w:left="3400" w:firstLine="0"/>
      <w:jc w:val="both"/>
    </w:pPr>
    <w:rPr>
      <w:rFonts w:ascii="Times New Roman" w:hAnsi="Times New Roman" w:eastAsia="Times New Roman"/>
      <w:w w:val="100"/>
      <w:sz w:val="21"/>
      <w:szCs w:val="21"/>
      <w:shd w:val="clear"/>
    </w:rPr>
  </w:style>
  <w:style w:type="paragraph" w:styleId="23">
    <w:name w:val="Title"/>
    <w:qFormat/>
    <w:uiPriority w:val="6"/>
    <w:pPr>
      <w:jc w:val="center"/>
    </w:pPr>
    <w:rPr>
      <w:rFonts w:ascii="Times New Roman" w:hAnsi="Times New Roman" w:eastAsia="Times New Roman"/>
      <w:b/>
      <w:w w:val="100"/>
      <w:sz w:val="32"/>
      <w:szCs w:val="32"/>
      <w:shd w:val="clear"/>
    </w:rPr>
  </w:style>
  <w:style w:type="character" w:styleId="26">
    <w:name w:val="Strong"/>
    <w:qFormat/>
    <w:uiPriority w:val="20"/>
    <w:rPr>
      <w:b/>
      <w:w w:val="100"/>
      <w:sz w:val="21"/>
      <w:szCs w:val="21"/>
      <w:shd w:val="clear"/>
    </w:rPr>
  </w:style>
  <w:style w:type="character" w:styleId="27">
    <w:name w:val="Emphasis"/>
    <w:qFormat/>
    <w:uiPriority w:val="18"/>
    <w:rPr>
      <w:i/>
      <w:w w:val="100"/>
      <w:sz w:val="21"/>
      <w:szCs w:val="21"/>
      <w:shd w:val="clear"/>
    </w:rPr>
  </w:style>
  <w:style w:type="paragraph" w:styleId="28">
    <w:name w:val="No Spacing"/>
    <w:qFormat/>
    <w:uiPriority w:val="5"/>
    <w:pPr>
      <w:jc w:val="both"/>
    </w:pPr>
    <w:rPr>
      <w:rFonts w:ascii="Times New Roman" w:hAnsi="Times New Roman" w:eastAsia="Times New Roman"/>
      <w:w w:val="100"/>
      <w:sz w:val="21"/>
      <w:szCs w:val="21"/>
      <w:shd w:val="clear"/>
    </w:rPr>
  </w:style>
  <w:style w:type="character" w:customStyle="1" w:styleId="29">
    <w:name w:val="Subtle Emphasis"/>
    <w:qFormat/>
    <w:uiPriority w:val="17"/>
    <w:rPr>
      <w:i/>
      <w:color w:val="404040"/>
      <w:w w:val="100"/>
      <w:sz w:val="21"/>
      <w:szCs w:val="21"/>
      <w:shd w:val="clear"/>
    </w:rPr>
  </w:style>
  <w:style w:type="character" w:customStyle="1" w:styleId="30">
    <w:name w:val="Intense Emphasis"/>
    <w:qFormat/>
    <w:uiPriority w:val="19"/>
    <w:rPr>
      <w:i/>
      <w:color w:val="5B9BD5"/>
      <w:w w:val="100"/>
      <w:sz w:val="21"/>
      <w:szCs w:val="21"/>
      <w:shd w:val="clear"/>
    </w:rPr>
  </w:style>
  <w:style w:type="paragraph" w:styleId="31">
    <w:name w:val="Quote"/>
    <w:qFormat/>
    <w:uiPriority w:val="21"/>
    <w:pPr>
      <w:ind w:left="864" w:right="864" w:firstLine="0"/>
      <w:jc w:val="center"/>
    </w:pPr>
    <w:rPr>
      <w:rFonts w:ascii="Times New Roman" w:hAnsi="Times New Roman" w:eastAsia="Times New Roman"/>
      <w:i/>
      <w:color w:val="404040"/>
      <w:w w:val="100"/>
      <w:sz w:val="21"/>
      <w:szCs w:val="21"/>
      <w:shd w:val="clear"/>
    </w:rPr>
  </w:style>
  <w:style w:type="paragraph" w:styleId="32">
    <w:name w:val="Intense Quote"/>
    <w:qFormat/>
    <w:uiPriority w:val="22"/>
    <w:pPr>
      <w:ind w:left="950" w:right="950" w:firstLine="0"/>
      <w:jc w:val="center"/>
    </w:pPr>
    <w:rPr>
      <w:rFonts w:ascii="Times New Roman" w:hAnsi="Times New Roman" w:eastAsia="Times New Roman"/>
      <w:i/>
      <w:color w:val="5B9BD5"/>
      <w:w w:val="100"/>
      <w:sz w:val="21"/>
      <w:szCs w:val="21"/>
      <w:shd w:val="clear"/>
    </w:rPr>
  </w:style>
  <w:style w:type="character" w:customStyle="1" w:styleId="33">
    <w:name w:val="Subtle Reference"/>
    <w:qFormat/>
    <w:uiPriority w:val="23"/>
    <w:rPr>
      <w:smallCaps/>
      <w:color w:val="5A5A5A"/>
      <w:w w:val="100"/>
      <w:sz w:val="21"/>
      <w:szCs w:val="21"/>
      <w:shd w:val="clear"/>
    </w:rPr>
  </w:style>
  <w:style w:type="character" w:customStyle="1" w:styleId="34">
    <w:name w:val="Intense Reference"/>
    <w:qFormat/>
    <w:uiPriority w:val="24"/>
    <w:rPr>
      <w:b/>
      <w:smallCaps/>
      <w:color w:val="5B9BD5"/>
      <w:w w:val="100"/>
      <w:sz w:val="21"/>
      <w:szCs w:val="21"/>
      <w:shd w:val="clear"/>
    </w:rPr>
  </w:style>
  <w:style w:type="character" w:customStyle="1" w:styleId="35">
    <w:name w:val="Book Title"/>
    <w:qFormat/>
    <w:uiPriority w:val="25"/>
    <w:rPr>
      <w:b/>
      <w:i/>
      <w:w w:val="100"/>
      <w:sz w:val="21"/>
      <w:szCs w:val="21"/>
      <w:shd w:val="clear"/>
    </w:rPr>
  </w:style>
  <w:style w:type="paragraph" w:styleId="36">
    <w:name w:val="List Paragraph"/>
    <w:qFormat/>
    <w:uiPriority w:val="26"/>
    <w:pPr>
      <w:ind w:left="850" w:firstLine="0"/>
      <w:jc w:val="both"/>
    </w:pPr>
    <w:rPr>
      <w:rFonts w:ascii="Times New Roman" w:hAnsi="Times New Roman" w:eastAsia="Times New Roman"/>
      <w:w w:val="100"/>
      <w:sz w:val="21"/>
      <w:szCs w:val="21"/>
      <w:shd w:val="clear"/>
    </w:rPr>
  </w:style>
  <w:style w:type="paragraph" w:customStyle="1" w:styleId="37">
    <w:name w:val="TOC Heading"/>
    <w:unhideWhenUsed/>
    <w:qFormat/>
    <w:uiPriority w:val="27"/>
    <w:rPr>
      <w:rFonts w:ascii="Times New Roman" w:hAnsi="Times New Roman" w:eastAsia="Times New Roman"/>
      <w:color w:val="2E74B5"/>
      <w:w w:val="100"/>
      <w:sz w:val="32"/>
      <w:szCs w:val="32"/>
      <w:shd w:val="clear"/>
    </w:rPr>
  </w:style>
  <w:style w:type="character" w:customStyle="1" w:styleId="38">
    <w:name w:val="页眉 Char"/>
    <w:basedOn w:val="25"/>
    <w:link w:val="16"/>
    <w:qFormat/>
    <w:uiPriority w:val="154"/>
    <w:rPr>
      <w:w w:val="100"/>
      <w:sz w:val="18"/>
      <w:szCs w:val="18"/>
      <w:shd w:val="clear"/>
    </w:rPr>
  </w:style>
  <w:style w:type="character" w:customStyle="1" w:styleId="39">
    <w:name w:val="页脚 Char"/>
    <w:basedOn w:val="25"/>
    <w:link w:val="15"/>
    <w:uiPriority w:val="155"/>
    <w:rPr>
      <w:w w:val="100"/>
      <w:sz w:val="18"/>
      <w:szCs w:val="18"/>
      <w:shd w:val="cle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370</Words>
  <Characters>2476</Characters>
  <Lines>17</Lines>
  <Paragraphs>4</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2021-01-25T05:37:23Z</dcterms:created>
  <dc:creator>zhanggang</dc:creator>
  <cp:lastModifiedBy>Administrator</cp:lastModifiedBy>
  <dcterms:modified xsi:type="dcterms:W3CDTF">2021-01-25T05:49:07Z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